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overflowPunct w:val="0"/>
        <w:adjustRightInd w:val="0"/>
        <w:snapToGrid w:val="0"/>
        <w:spacing w:line="560" w:lineRule="exact"/>
        <w:ind w:left="0" w:leftChars="0" w:firstLine="0" w:firstLineChars="0"/>
        <w:jc w:val="both"/>
        <w:rPr>
          <w:rStyle w:val="13"/>
          <w:rFonts w:hint="eastAsia" w:ascii="仿宋_GB2312" w:hAnsi="仿宋_GB2312" w:eastAsia="仿宋_GB2312" w:cs="仿宋_GB2312"/>
          <w:color w:val="000000" w:themeColor="text1"/>
          <w:kern w:val="0"/>
          <w:sz w:val="32"/>
          <w:szCs w:val="32"/>
          <w14:textFill>
            <w14:solidFill>
              <w14:schemeClr w14:val="tx1"/>
            </w14:solidFill>
          </w14:textFill>
        </w:rPr>
      </w:pPr>
      <w:bookmarkStart w:id="0" w:name="_GoBack"/>
      <w:bookmarkEnd w:id="0"/>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rPr>
        <w:t>海南联合资产管理有限公司所属企业公开比选常年法律顾问项目比选</w:t>
      </w:r>
      <w:r>
        <w:rPr>
          <w:rStyle w:val="13"/>
          <w:rFonts w:hint="eastAsia" w:ascii="仿宋_GB2312" w:hAnsi="仿宋_GB2312" w:eastAsia="仿宋_GB2312" w:cs="仿宋_GB2312"/>
          <w:color w:val="000000" w:themeColor="text1"/>
          <w:kern w:val="0"/>
          <w:sz w:val="32"/>
          <w:szCs w:val="32"/>
          <w14:textFill>
            <w14:solidFill>
              <w14:schemeClr w14:val="tx1"/>
            </w14:solidFill>
          </w14:textFill>
        </w:rPr>
        <w:t>文件</w:t>
      </w:r>
    </w:p>
    <w:p>
      <w:pPr>
        <w:widowControl w:val="0"/>
        <w:adjustRightInd w:val="0"/>
        <w:snapToGrid w:val="0"/>
        <w:spacing w:after="0" w:line="240" w:lineRule="auto"/>
        <w:ind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一、</w:t>
      </w:r>
      <w:r>
        <w:rPr>
          <w:rFonts w:hint="eastAsia" w:ascii="黑体" w:hAnsi="黑体" w:eastAsia="黑体" w:cs="黑体"/>
          <w:sz w:val="44"/>
          <w:szCs w:val="44"/>
          <w:lang w:eastAsia="zh-CN"/>
        </w:rPr>
        <w:t>资格审查条件</w:t>
      </w:r>
    </w:p>
    <w:tbl>
      <w:tblPr>
        <w:tblStyle w:val="6"/>
        <w:tblpPr w:leftFromText="180" w:rightFromText="180" w:vertAnchor="text" w:horzAnchor="page" w:tblpXSpec="center" w:tblpY="935"/>
        <w:tblOverlap w:val="never"/>
        <w:tblW w:w="14160" w:type="dxa"/>
        <w:jc w:val="center"/>
        <w:tblLayout w:type="fixed"/>
        <w:tblCellMar>
          <w:top w:w="0" w:type="dxa"/>
          <w:left w:w="108" w:type="dxa"/>
          <w:bottom w:w="0" w:type="dxa"/>
          <w:right w:w="108" w:type="dxa"/>
        </w:tblCellMar>
      </w:tblPr>
      <w:tblGrid>
        <w:gridCol w:w="810"/>
        <w:gridCol w:w="930"/>
        <w:gridCol w:w="12420"/>
      </w:tblGrid>
      <w:tr>
        <w:tblPrEx>
          <w:tblCellMar>
            <w:top w:w="0" w:type="dxa"/>
            <w:left w:w="108" w:type="dxa"/>
            <w:bottom w:w="0" w:type="dxa"/>
            <w:right w:w="108" w:type="dxa"/>
          </w:tblCellMar>
        </w:tblPrEx>
        <w:trPr>
          <w:trHeight w:val="400"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center"/>
              <w:rPr>
                <w:rFonts w:hint="eastAsia" w:ascii="仿宋_GB2312" w:hAnsi="黑体" w:eastAsia="仿宋_GB2312" w:cs="仿宋_GB2312"/>
                <w:b/>
                <w:bCs/>
                <w:color w:val="000000"/>
              </w:rPr>
            </w:pPr>
            <w:r>
              <w:rPr>
                <w:rFonts w:hint="eastAsia" w:ascii="仿宋_GB2312" w:hAnsi="黑体" w:eastAsia="仿宋_GB2312" w:cs="仿宋_GB2312"/>
                <w:b/>
                <w:bCs/>
                <w:color w:val="000000"/>
                <w:lang w:eastAsia="zh-CN" w:bidi="ar"/>
              </w:rPr>
              <w:t>序号</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center"/>
              <w:rPr>
                <w:rFonts w:hint="eastAsia" w:ascii="仿宋_GB2312" w:hAnsi="黑体" w:eastAsia="仿宋_GB2312" w:cs="仿宋_GB2312"/>
                <w:b/>
                <w:bCs/>
                <w:color w:val="000000"/>
              </w:rPr>
            </w:pPr>
            <w:r>
              <w:rPr>
                <w:rFonts w:hint="eastAsia" w:ascii="仿宋_GB2312" w:hAnsi="黑体" w:eastAsia="仿宋_GB2312" w:cs="仿宋_GB2312"/>
                <w:b/>
                <w:bCs/>
                <w:color w:val="000000"/>
                <w:lang w:eastAsia="zh-CN" w:bidi="ar"/>
              </w:rPr>
              <w:t>项目</w:t>
            </w:r>
          </w:p>
        </w:tc>
        <w:tc>
          <w:tcPr>
            <w:tcW w:w="12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center"/>
              <w:rPr>
                <w:rFonts w:hint="eastAsia" w:ascii="仿宋_GB2312" w:hAnsi="黑体" w:eastAsia="仿宋_GB2312" w:cs="仿宋_GB2312"/>
                <w:b/>
                <w:bCs/>
                <w:color w:val="000000"/>
              </w:rPr>
            </w:pPr>
            <w:r>
              <w:rPr>
                <w:rFonts w:hint="eastAsia" w:ascii="仿宋_GB2312" w:hAnsi="黑体" w:eastAsia="仿宋_GB2312" w:cs="仿宋_GB2312"/>
                <w:b/>
                <w:bCs/>
                <w:color w:val="000000"/>
                <w:lang w:eastAsia="zh-CN" w:bidi="ar"/>
              </w:rPr>
              <w:t>资格审查条件</w:t>
            </w:r>
          </w:p>
        </w:tc>
      </w:tr>
      <w:tr>
        <w:tblPrEx>
          <w:tblCellMar>
            <w:top w:w="0" w:type="dxa"/>
            <w:left w:w="108" w:type="dxa"/>
            <w:bottom w:w="0" w:type="dxa"/>
            <w:right w:w="108" w:type="dxa"/>
          </w:tblCellMar>
        </w:tblPrEx>
        <w:trPr>
          <w:trHeight w:val="46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rPr>
                <w:rFonts w:hint="eastAsia" w:ascii="仿宋_GB2312" w:hAnsi="仿宋_GB2312" w:eastAsia="仿宋_GB2312" w:cs="仿宋_GB2312"/>
                <w:b/>
                <w:bCs/>
                <w:color w:val="00000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rPr>
                <w:rFonts w:hint="eastAsia" w:ascii="仿宋_GB2312" w:hAnsi="仿宋_GB2312" w:eastAsia="仿宋_GB2312" w:cs="仿宋_GB2312"/>
                <w:b/>
                <w:bCs/>
                <w:color w:val="000000"/>
              </w:rPr>
            </w:pPr>
          </w:p>
        </w:tc>
        <w:tc>
          <w:tcPr>
            <w:tcW w:w="12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rPr>
                <w:rFonts w:hint="eastAsia" w:ascii="仿宋_GB2312" w:hAnsi="仿宋_GB2312" w:eastAsia="仿宋_GB2312" w:cs="仿宋_GB2312"/>
                <w:b/>
                <w:bCs/>
                <w:color w:val="000000"/>
              </w:rPr>
            </w:pPr>
          </w:p>
        </w:tc>
      </w:tr>
      <w:tr>
        <w:tblPrEx>
          <w:tblCellMar>
            <w:top w:w="0" w:type="dxa"/>
            <w:left w:w="108" w:type="dxa"/>
            <w:bottom w:w="0" w:type="dxa"/>
            <w:right w:w="108" w:type="dxa"/>
          </w:tblCellMar>
        </w:tblPrEx>
        <w:trPr>
          <w:trHeight w:val="98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center"/>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center"/>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bidi="ar"/>
              </w:rPr>
              <w:t>机构基本情况</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center"/>
              <w:rPr>
                <w:rFonts w:hint="default" w:ascii="仿宋_GB2312" w:hAnsi="仿宋_GB2312" w:eastAsia="仿宋_GB2312" w:cs="仿宋_GB2312"/>
                <w:color w:val="000000"/>
                <w:lang w:eastAsia="zh-CN" w:bidi="ar"/>
              </w:rPr>
            </w:pPr>
            <w:r>
              <w:rPr>
                <w:rFonts w:hint="eastAsia" w:ascii="仿宋_GB2312" w:hAnsi="仿宋_GB2312" w:eastAsia="仿宋_GB2312" w:cs="仿宋_GB2312"/>
                <w:color w:val="000000"/>
                <w:lang w:eastAsia="zh-CN" w:bidi="ar"/>
              </w:rPr>
              <w:t>参选供应商须是在中华人民共和国境内注册、具有独立承担民事责任的能力，须为未被列入信用中国网站(www.creditchina.gov.cn)的“失信被执行人”“重大税收违法失信主体”“政府采购严重违法失信名单”和中国政府采购网(www.ccgp.gov.cn)的“政府采购严重违法失信行为记录名单”；</w:t>
            </w:r>
          </w:p>
          <w:p>
            <w:pPr>
              <w:pStyle w:val="11"/>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center"/>
              <w:rPr>
                <w:rFonts w:hint="default" w:ascii="仿宋_GB2312" w:hAnsi="仿宋_GB2312" w:eastAsia="仿宋_GB2312" w:cs="仿宋_GB2312"/>
                <w:color w:val="000000"/>
                <w:lang w:eastAsia="zh-CN" w:bidi="ar"/>
              </w:rPr>
            </w:pPr>
            <w:r>
              <w:rPr>
                <w:rFonts w:hint="eastAsia" w:ascii="仿宋_GB2312" w:hAnsi="仿宋_GB2312" w:eastAsia="仿宋_GB2312" w:cs="仿宋_GB2312"/>
                <w:color w:val="000000"/>
                <w:lang w:eastAsia="zh-CN" w:bidi="ar"/>
              </w:rPr>
              <w:t>参选供应商具有依法缴纳税收和社会保障资金的良好记录；</w:t>
            </w:r>
          </w:p>
          <w:p>
            <w:pPr>
              <w:pStyle w:val="11"/>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center"/>
              <w:rPr>
                <w:rFonts w:hint="default" w:ascii="仿宋_GB2312" w:hAnsi="仿宋_GB2312" w:eastAsia="仿宋_GB2312" w:cs="仿宋_GB2312"/>
                <w:color w:val="000000"/>
                <w:lang w:eastAsia="zh-CN" w:bidi="ar"/>
              </w:rPr>
            </w:pPr>
            <w:r>
              <w:rPr>
                <w:rFonts w:hint="eastAsia" w:ascii="仿宋_GB2312" w:hAnsi="仿宋_GB2312" w:eastAsia="仿宋_GB2312" w:cs="仿宋_GB2312"/>
                <w:lang w:eastAsia="zh-CN"/>
              </w:rPr>
              <w:t>参选</w:t>
            </w:r>
            <w:r>
              <w:rPr>
                <w:rFonts w:hint="eastAsia" w:ascii="仿宋_GB2312" w:hAnsi="仿宋_GB2312" w:eastAsia="仿宋_GB2312" w:cs="仿宋_GB2312"/>
              </w:rPr>
              <w:t>供应商（包含拟指派执业律师）参选前三年内，在经营活动中没有重大违纪、违法记录</w:t>
            </w:r>
            <w:r>
              <w:rPr>
                <w:rFonts w:hint="eastAsia" w:ascii="仿宋_GB2312" w:hAnsi="仿宋_GB2312" w:eastAsia="仿宋_GB2312" w:cs="仿宋_GB2312"/>
                <w:lang w:val="en-US" w:eastAsia="zh-CN"/>
              </w:rPr>
              <w:t>;</w:t>
            </w:r>
          </w:p>
          <w:p>
            <w:pPr>
              <w:pStyle w:val="11"/>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center"/>
              <w:rPr>
                <w:rFonts w:hint="default" w:ascii="仿宋_GB2312" w:hAnsi="仿宋_GB2312" w:eastAsia="仿宋_GB2312" w:cs="仿宋_GB2312"/>
                <w:color w:val="000000"/>
                <w:lang w:eastAsia="zh-CN" w:bidi="ar"/>
              </w:rPr>
            </w:pPr>
            <w:r>
              <w:rPr>
                <w:rFonts w:hint="eastAsia" w:ascii="仿宋_GB2312" w:hAnsi="仿宋_GB2312" w:eastAsia="仿宋_GB2312" w:cs="仿宋_GB2312"/>
                <w:lang w:eastAsia="zh-CN"/>
              </w:rPr>
              <w:t>参选</w:t>
            </w:r>
            <w:r>
              <w:rPr>
                <w:rFonts w:hint="eastAsia" w:ascii="仿宋_GB2312" w:hAnsi="仿宋_GB2312" w:eastAsia="仿宋_GB2312" w:cs="仿宋_GB2312"/>
              </w:rPr>
              <w:t>供应商（包含拟指派执业律师）参选前三年内未因自身的任何违约、违法及违反职业道德的行为而导致合同解除或败诉，没有被投诉，未受过司法行政部门的行政处罚或律师协会的行业处分</w:t>
            </w:r>
            <w:r>
              <w:rPr>
                <w:rFonts w:hint="eastAsia" w:ascii="仿宋_GB2312" w:hAnsi="仿宋_GB2312" w:eastAsia="仿宋_GB2312" w:cs="仿宋_GB2312"/>
                <w:lang w:eastAsia="zh-CN"/>
              </w:rPr>
              <w:t>记录；</w:t>
            </w:r>
          </w:p>
          <w:p>
            <w:pPr>
              <w:pStyle w:val="11"/>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center"/>
              <w:rPr>
                <w:rFonts w:hint="default" w:ascii="仿宋_GB2312" w:hAnsi="仿宋_GB2312" w:eastAsia="仿宋_GB2312" w:cs="仿宋_GB2312"/>
                <w:color w:val="000000"/>
                <w:lang w:eastAsia="zh-CN" w:bidi="ar"/>
              </w:rPr>
            </w:pPr>
            <w:r>
              <w:rPr>
                <w:rFonts w:hint="eastAsia" w:ascii="仿宋_GB2312" w:hAnsi="仿宋_GB2312" w:eastAsia="仿宋_GB2312" w:cs="仿宋_GB2312"/>
                <w:lang w:eastAsia="zh-CN"/>
              </w:rPr>
              <w:t>参选</w:t>
            </w:r>
            <w:r>
              <w:rPr>
                <w:rFonts w:hint="eastAsia" w:ascii="仿宋_GB2312" w:hAnsi="仿宋_GB2312" w:eastAsia="仿宋_GB2312" w:cs="仿宋_GB2312"/>
              </w:rPr>
              <w:t>供应商未存在与我司及所属各成员企业存在利益冲突的情形（含诉讼、非诉讼案件、仲裁、投资并购等存在利益冲突的事项）</w:t>
            </w:r>
            <w:r>
              <w:rPr>
                <w:rFonts w:hint="eastAsia" w:ascii="仿宋_GB2312" w:hAnsi="仿宋_GB2312" w:eastAsia="仿宋_GB2312" w:cs="仿宋_GB2312"/>
                <w:lang w:val="en-US" w:eastAsia="zh-CN"/>
              </w:rPr>
              <w:t>;</w:t>
            </w:r>
          </w:p>
          <w:p>
            <w:pPr>
              <w:pStyle w:val="11"/>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center"/>
              <w:rPr>
                <w:rFonts w:hint="default" w:ascii="仿宋_GB2312" w:hAnsi="仿宋_GB2312" w:eastAsia="仿宋_GB2312" w:cs="仿宋_GB2312"/>
                <w:color w:val="000000"/>
                <w:lang w:eastAsia="zh-CN" w:bidi="ar"/>
              </w:rPr>
            </w:pPr>
            <w:r>
              <w:rPr>
                <w:rFonts w:hint="eastAsia" w:ascii="仿宋_GB2312" w:hAnsi="仿宋_GB2312" w:eastAsia="仿宋_GB2312" w:cs="仿宋_GB2312"/>
                <w:lang w:eastAsia="zh-CN"/>
              </w:rPr>
              <w:t>参选</w:t>
            </w:r>
            <w:r>
              <w:rPr>
                <w:rFonts w:hint="eastAsia" w:ascii="仿宋_GB2312" w:hAnsi="仿宋_GB2312" w:eastAsia="仿宋_GB2312" w:cs="仿宋_GB2312"/>
              </w:rPr>
              <w:t>供应商具有良好的社会关系、资信实力、管理水平、商业信誉和健全的财务会计制度</w:t>
            </w:r>
            <w:r>
              <w:rPr>
                <w:rFonts w:hint="eastAsia" w:ascii="仿宋_GB2312" w:hAnsi="仿宋_GB2312" w:eastAsia="仿宋_GB2312" w:cs="仿宋_GB2312"/>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center"/>
              <w:rPr>
                <w:rFonts w:hint="eastAsia" w:ascii="仿宋_GB2312" w:hAnsi="仿宋_GB2312" w:eastAsia="仿宋_GB2312" w:cs="仿宋_GB2312"/>
                <w:color w:val="000000"/>
                <w:lang w:eastAsia="zh-CN" w:bidi="ar"/>
              </w:rPr>
            </w:pPr>
            <w:r>
              <w:rPr>
                <w:rFonts w:hint="eastAsia" w:ascii="仿宋_GB2312" w:hAnsi="仿宋_GB2312" w:eastAsia="仿宋_GB2312" w:cs="仿宋_GB2312"/>
                <w:b/>
                <w:bCs/>
                <w:color w:val="000000"/>
                <w:lang w:eastAsia="zh-CN" w:bidi="ar"/>
              </w:rPr>
              <w:t>备注：</w:t>
            </w:r>
            <w:r>
              <w:rPr>
                <w:rFonts w:hint="eastAsia" w:ascii="仿宋_GB2312" w:hAnsi="仿宋_GB2312" w:eastAsia="仿宋_GB2312" w:cs="仿宋_GB2312"/>
                <w:color w:val="000000"/>
                <w:lang w:eastAsia="zh-CN" w:bidi="ar"/>
              </w:rPr>
              <w:t>上述1至6条件要求中，均需提供相应证明文件。即以分支机构名义申报的，需提供分支机构证明文件；以总部名义申报的，需提供总部证明文件。</w:t>
            </w:r>
          </w:p>
        </w:tc>
      </w:tr>
      <w:tr>
        <w:tblPrEx>
          <w:tblCellMar>
            <w:top w:w="0" w:type="dxa"/>
            <w:left w:w="108" w:type="dxa"/>
            <w:bottom w:w="0" w:type="dxa"/>
            <w:right w:w="108" w:type="dxa"/>
          </w:tblCellMar>
        </w:tblPrEx>
        <w:trPr>
          <w:trHeight w:val="11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center"/>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center"/>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bidi="ar"/>
              </w:rPr>
              <w:t>团队人员要求</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center"/>
              <w:rPr>
                <w:rFonts w:hint="eastAsia" w:ascii="仿宋_GB2312" w:hAnsi="仿宋_GB2312" w:eastAsia="仿宋_GB2312" w:cs="仿宋_GB2312"/>
                <w:color w:val="000000"/>
                <w:lang w:eastAsia="zh-CN" w:bidi="ar"/>
              </w:rPr>
            </w:pPr>
            <w:r>
              <w:rPr>
                <w:rFonts w:hint="eastAsia" w:ascii="仿宋_GB2312" w:hAnsi="仿宋_GB2312" w:eastAsia="仿宋_GB2312" w:cs="仿宋_GB2312"/>
                <w:color w:val="000000"/>
                <w:lang w:val="en-US" w:eastAsia="zh-CN" w:bidi="ar"/>
              </w:rPr>
              <w:t>服务</w:t>
            </w:r>
            <w:r>
              <w:rPr>
                <w:rFonts w:hint="eastAsia" w:ascii="仿宋_GB2312" w:hAnsi="仿宋_GB2312" w:eastAsia="仿宋_GB2312" w:cs="仿宋_GB2312"/>
                <w:color w:val="000000"/>
                <w:lang w:eastAsia="zh-CN" w:bidi="ar"/>
              </w:rPr>
              <w:t>团队人数不少于3人。</w:t>
            </w:r>
          </w:p>
          <w:p>
            <w:pPr>
              <w:pStyle w:val="11"/>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center"/>
              <w:rPr>
                <w:rFonts w:hint="eastAsia" w:ascii="仿宋_GB2312" w:hAnsi="仿宋_GB2312" w:eastAsia="仿宋_GB2312" w:cs="仿宋_GB2312"/>
                <w:color w:val="000000"/>
                <w:lang w:eastAsia="zh-CN" w:bidi="ar"/>
              </w:rPr>
            </w:pPr>
            <w:r>
              <w:rPr>
                <w:rFonts w:hint="eastAsia" w:ascii="仿宋_GB2312" w:hAnsi="仿宋_GB2312" w:eastAsia="仿宋_GB2312" w:cs="仿宋_GB2312"/>
                <w:color w:val="000000"/>
                <w:lang w:val="en-US" w:eastAsia="zh-CN" w:bidi="ar"/>
              </w:rPr>
              <w:t>服务</w:t>
            </w:r>
            <w:r>
              <w:rPr>
                <w:rFonts w:hint="eastAsia" w:ascii="仿宋_GB2312" w:hAnsi="仿宋_GB2312" w:eastAsia="仿宋_GB2312" w:cs="仿宋_GB2312"/>
                <w:color w:val="000000"/>
                <w:lang w:eastAsia="zh-CN" w:bidi="ar"/>
              </w:rPr>
              <w:t>团队负责人1名，且需执业10年（含）以上。</w:t>
            </w:r>
          </w:p>
          <w:p>
            <w:pPr>
              <w:pStyle w:val="11"/>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center"/>
              <w:rPr>
                <w:rFonts w:hint="eastAsia" w:ascii="仿宋_GB2312" w:hAnsi="仿宋_GB2312" w:eastAsia="仿宋_GB2312" w:cs="仿宋_GB2312"/>
                <w:color w:val="000000"/>
                <w:lang w:eastAsia="zh-CN" w:bidi="ar"/>
              </w:rPr>
            </w:pPr>
            <w:r>
              <w:rPr>
                <w:rFonts w:hint="eastAsia" w:ascii="仿宋_GB2312" w:hAnsi="仿宋_GB2312" w:eastAsia="仿宋_GB2312" w:cs="仿宋_GB2312"/>
                <w:color w:val="000000"/>
                <w:lang w:val="en-US" w:eastAsia="zh-CN" w:bidi="ar"/>
              </w:rPr>
              <w:t>服务</w:t>
            </w:r>
            <w:r>
              <w:rPr>
                <w:rFonts w:hint="eastAsia" w:ascii="仿宋_GB2312" w:hAnsi="仿宋_GB2312" w:eastAsia="仿宋_GB2312" w:cs="仿宋_GB2312"/>
                <w:color w:val="000000"/>
                <w:lang w:eastAsia="zh-CN" w:bidi="ar"/>
              </w:rPr>
              <w:t>团队</w:t>
            </w:r>
            <w:r>
              <w:rPr>
                <w:rFonts w:hint="eastAsia" w:ascii="仿宋_GB2312" w:hAnsi="仿宋_GB2312" w:eastAsia="仿宋_GB2312" w:cs="仿宋_GB2312"/>
                <w:color w:val="000000"/>
                <w:lang w:val="en-US" w:eastAsia="zh-CN" w:bidi="ar"/>
              </w:rPr>
              <w:t>主要</w:t>
            </w:r>
            <w:r>
              <w:rPr>
                <w:rFonts w:hint="eastAsia" w:ascii="仿宋_GB2312" w:hAnsi="仿宋_GB2312" w:eastAsia="仿宋_GB2312" w:cs="仿宋_GB2312"/>
                <w:color w:val="000000"/>
                <w:lang w:eastAsia="zh-CN" w:bidi="ar"/>
              </w:rPr>
              <w:t>成员2名，且需执业5年（含）以上。</w:t>
            </w:r>
          </w:p>
        </w:tc>
      </w:tr>
      <w:tr>
        <w:tblPrEx>
          <w:tblCellMar>
            <w:top w:w="0" w:type="dxa"/>
            <w:left w:w="108" w:type="dxa"/>
            <w:bottom w:w="0" w:type="dxa"/>
            <w:right w:w="108" w:type="dxa"/>
          </w:tblCellMar>
        </w:tblPrEx>
        <w:trPr>
          <w:trHeight w:val="31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center"/>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center"/>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bidi="ar"/>
              </w:rPr>
              <w:t>业绩证明</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center"/>
              <w:rPr>
                <w:rFonts w:hint="eastAsia" w:ascii="仿宋_GB2312" w:hAnsi="仿宋_GB2312" w:eastAsia="仿宋_GB2312" w:cs="仿宋_GB2312"/>
                <w:color w:val="000000"/>
                <w:lang w:eastAsia="zh-CN" w:bidi="ar"/>
              </w:rPr>
            </w:pPr>
            <w:r>
              <w:rPr>
                <w:rFonts w:hint="eastAsia" w:ascii="仿宋_GB2312" w:hAnsi="仿宋_GB2312" w:eastAsia="仿宋_GB2312" w:cs="仿宋_GB2312"/>
                <w:color w:val="000000"/>
                <w:lang w:eastAsia="zh-CN" w:bidi="ar"/>
              </w:rPr>
              <w:t>参选供应商</w:t>
            </w:r>
            <w:r>
              <w:rPr>
                <w:rFonts w:hint="eastAsia" w:ascii="仿宋_GB2312" w:hAnsi="仿宋_GB2312" w:eastAsia="仿宋_GB2312" w:cs="仿宋_GB2312"/>
                <w:color w:val="000000"/>
                <w:lang w:val="en-US" w:eastAsia="zh-CN" w:bidi="ar"/>
              </w:rPr>
              <w:t>具有</w:t>
            </w:r>
            <w:r>
              <w:rPr>
                <w:rFonts w:hint="eastAsia" w:ascii="仿宋_GB2312" w:hAnsi="仿宋_GB2312" w:eastAsia="仿宋_GB2312" w:cs="仿宋_GB2312"/>
                <w:color w:val="000000"/>
                <w:lang w:eastAsia="zh-CN" w:bidi="ar"/>
              </w:rPr>
              <w:t>熟悉或拥有担保公司、小贷公司、银行等金融机构业务操作以及法律诉讼和非诉等丰富经验；</w:t>
            </w:r>
          </w:p>
          <w:p>
            <w:pPr>
              <w:pStyle w:val="11"/>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center"/>
              <w:rPr>
                <w:rFonts w:hint="eastAsia" w:ascii="仿宋_GB2312" w:hAnsi="仿宋_GB2312" w:eastAsia="仿宋_GB2312" w:cs="仿宋_GB2312"/>
              </w:rPr>
            </w:pPr>
            <w:r>
              <w:rPr>
                <w:rFonts w:hint="eastAsia" w:ascii="仿宋_GB2312" w:hAnsi="仿宋_GB2312" w:eastAsia="仿宋_GB2312" w:cs="仿宋_GB2312"/>
                <w:color w:val="000000"/>
                <w:lang w:eastAsia="zh-CN" w:bidi="ar"/>
              </w:rPr>
              <w:t>参选供应商</w:t>
            </w:r>
            <w:r>
              <w:rPr>
                <w:rFonts w:hint="eastAsia" w:ascii="仿宋_GB2312" w:hAnsi="仿宋_GB2312" w:eastAsia="仿宋_GB2312" w:cs="仿宋_GB2312"/>
              </w:rPr>
              <w:t>拟指派律师</w:t>
            </w:r>
            <w:r>
              <w:rPr>
                <w:rFonts w:hint="eastAsia" w:ascii="仿宋_GB2312" w:hAnsi="仿宋_GB2312" w:eastAsia="仿宋_GB2312" w:cs="仿宋_GB2312"/>
                <w:color w:val="000000"/>
                <w:lang w:eastAsia="zh-CN" w:bidi="ar"/>
              </w:rPr>
              <w:t>执业以来有处理各类企业诉讼、仲裁案件的丰富经验，且具有参与企业规章制度建设、法律文件审核、提供法律意见、出具法律文书等事项的经验。（提供至少一个或以上合同、案例）</w:t>
            </w:r>
          </w:p>
        </w:tc>
      </w:tr>
    </w:tbl>
    <w:p>
      <w:pPr>
        <w:spacing w:line="240" w:lineRule="auto"/>
        <w:ind w:left="0" w:leftChars="0" w:firstLine="0" w:firstLineChars="0"/>
        <w:rPr>
          <w:rFonts w:hint="eastAsia" w:ascii="仿宋_GB2312" w:hAnsi="仿宋_GB2312" w:eastAsia="仿宋_GB2312" w:cs="仿宋_GB2312"/>
          <w:u w:val="single"/>
          <w:lang w:eastAsia="zh-CN"/>
        </w:rPr>
        <w:sectPr>
          <w:headerReference r:id="rId5" w:type="default"/>
          <w:footerReference r:id="rId6" w:type="default"/>
          <w:pgSz w:w="16838" w:h="11906" w:orient="landscape"/>
          <w:pgMar w:top="1800" w:right="1440" w:bottom="1800" w:left="1440" w:header="851" w:footer="992" w:gutter="0"/>
          <w:cols w:space="425" w:num="1"/>
          <w:docGrid w:type="lines" w:linePitch="435" w:charSpace="0"/>
        </w:sectPr>
      </w:pPr>
    </w:p>
    <w:p>
      <w:pPr>
        <w:widowControl w:val="0"/>
        <w:adjustRightInd w:val="0"/>
        <w:snapToGrid w:val="0"/>
        <w:spacing w:after="0" w:line="240" w:lineRule="auto"/>
        <w:ind w:firstLine="0" w:firstLineChars="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二、综合评分表</w:t>
      </w:r>
    </w:p>
    <w:tbl>
      <w:tblPr>
        <w:tblStyle w:val="6"/>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534"/>
        <w:gridCol w:w="644"/>
        <w:gridCol w:w="834"/>
        <w:gridCol w:w="6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0" w:type="pct"/>
            <w:shd w:val="clear" w:color="auto" w:fill="FFFFFF"/>
            <w:tcMar>
              <w:top w:w="15" w:type="dxa"/>
              <w:left w:w="15" w:type="dxa"/>
              <w:right w:w="15" w:type="dxa"/>
            </w:tcMar>
            <w:vAlign w:val="center"/>
          </w:tcPr>
          <w:p>
            <w:pPr>
              <w:keepNext w:val="0"/>
              <w:keepLines w:val="0"/>
              <w:pageBreakBefore w:val="0"/>
              <w:widowControl/>
              <w:suppressLineNumbers w:val="0"/>
              <w:kinsoku/>
              <w:wordWrap w:val="0"/>
              <w:overflowPunct w:val="0"/>
              <w:topLinePunct w:val="0"/>
              <w:autoSpaceDE/>
              <w:autoSpaceDN/>
              <w:bidi w:val="0"/>
              <w:adjustRightInd/>
              <w:snapToGrid/>
              <w:spacing w:before="0" w:beforeAutospacing="0" w:after="0" w:afterAutospacing="0" w:line="500" w:lineRule="exact"/>
              <w:ind w:left="0" w:right="0" w:firstLine="0" w:firstLineChars="0"/>
              <w:jc w:val="center"/>
              <w:textAlignment w:val="center"/>
              <w:rPr>
                <w:rFonts w:hint="eastAsia" w:ascii="仿宋_GB2312" w:hAnsi="仿宋_GB2312" w:eastAsia="仿宋_GB2312" w:cs="仿宋_GB2312"/>
                <w:b/>
                <w:bCs/>
                <w:color w:val="000000"/>
                <w:kern w:val="0"/>
                <w:sz w:val="32"/>
                <w:szCs w:val="32"/>
                <w:lang w:val="en-US"/>
              </w:rPr>
            </w:pPr>
            <w:r>
              <w:rPr>
                <w:rFonts w:hint="eastAsia" w:ascii="仿宋_GB2312" w:hAnsi="仿宋_GB2312" w:eastAsia="仿宋_GB2312" w:cs="仿宋_GB2312"/>
                <w:b/>
                <w:bCs/>
                <w:color w:val="000000"/>
                <w:kern w:val="0"/>
                <w:sz w:val="32"/>
                <w:szCs w:val="32"/>
                <w:lang w:val="en-US" w:eastAsia="zh-CN" w:bidi="ar"/>
              </w:rPr>
              <w:t>序号</w:t>
            </w:r>
          </w:p>
        </w:tc>
        <w:tc>
          <w:tcPr>
            <w:tcW w:w="386" w:type="pct"/>
            <w:shd w:val="clear" w:color="auto" w:fill="FFFFFF"/>
            <w:tcMar>
              <w:top w:w="15" w:type="dxa"/>
              <w:left w:w="15" w:type="dxa"/>
              <w:right w:w="15" w:type="dxa"/>
            </w:tcMar>
            <w:vAlign w:val="center"/>
          </w:tcPr>
          <w:p>
            <w:pPr>
              <w:keepNext w:val="0"/>
              <w:keepLines w:val="0"/>
              <w:pageBreakBefore w:val="0"/>
              <w:widowControl/>
              <w:suppressLineNumbers w:val="0"/>
              <w:kinsoku/>
              <w:wordWrap w:val="0"/>
              <w:overflowPunct w:val="0"/>
              <w:topLinePunct w:val="0"/>
              <w:autoSpaceDE/>
              <w:autoSpaceDN/>
              <w:bidi w:val="0"/>
              <w:adjustRightInd/>
              <w:snapToGrid/>
              <w:spacing w:before="0" w:beforeAutospacing="0" w:after="0" w:afterAutospacing="0" w:line="500" w:lineRule="exact"/>
              <w:ind w:left="0" w:right="0" w:firstLine="0" w:firstLineChars="0"/>
              <w:jc w:val="center"/>
              <w:textAlignment w:val="center"/>
              <w:rPr>
                <w:rFonts w:hint="eastAsia" w:ascii="仿宋_GB2312" w:hAnsi="仿宋_GB2312" w:eastAsia="仿宋_GB2312" w:cs="仿宋_GB2312"/>
                <w:b/>
                <w:bCs/>
                <w:color w:val="000000"/>
                <w:kern w:val="0"/>
                <w:sz w:val="32"/>
                <w:szCs w:val="32"/>
                <w:lang w:val="en-US"/>
              </w:rPr>
            </w:pPr>
            <w:r>
              <w:rPr>
                <w:rFonts w:hint="eastAsia" w:ascii="仿宋_GB2312" w:hAnsi="仿宋_GB2312" w:eastAsia="仿宋_GB2312" w:cs="仿宋_GB2312"/>
                <w:b/>
                <w:bCs/>
                <w:color w:val="000000"/>
                <w:kern w:val="0"/>
                <w:sz w:val="32"/>
                <w:szCs w:val="32"/>
                <w:lang w:val="en-US" w:eastAsia="zh-CN" w:bidi="ar"/>
              </w:rPr>
              <w:t>评分内容</w:t>
            </w:r>
          </w:p>
        </w:tc>
        <w:tc>
          <w:tcPr>
            <w:tcW w:w="500" w:type="pct"/>
            <w:shd w:val="clear" w:color="auto" w:fill="FFFFFF"/>
            <w:tcMar>
              <w:top w:w="15" w:type="dxa"/>
              <w:left w:w="15" w:type="dxa"/>
              <w:right w:w="15" w:type="dxa"/>
            </w:tcMar>
            <w:vAlign w:val="center"/>
          </w:tcPr>
          <w:p>
            <w:pPr>
              <w:keepNext w:val="0"/>
              <w:keepLines w:val="0"/>
              <w:pageBreakBefore w:val="0"/>
              <w:widowControl/>
              <w:suppressLineNumbers w:val="0"/>
              <w:kinsoku/>
              <w:wordWrap w:val="0"/>
              <w:overflowPunct w:val="0"/>
              <w:topLinePunct w:val="0"/>
              <w:autoSpaceDE/>
              <w:autoSpaceDN/>
              <w:bidi w:val="0"/>
              <w:adjustRightInd/>
              <w:snapToGrid/>
              <w:spacing w:before="0" w:beforeAutospacing="0" w:after="0" w:afterAutospacing="0" w:line="500" w:lineRule="exact"/>
              <w:ind w:left="0" w:right="0" w:firstLine="0" w:firstLineChars="0"/>
              <w:jc w:val="center"/>
              <w:textAlignment w:val="center"/>
              <w:rPr>
                <w:rFonts w:hint="eastAsia" w:ascii="仿宋_GB2312" w:hAnsi="仿宋_GB2312" w:eastAsia="仿宋_GB2312" w:cs="仿宋_GB2312"/>
                <w:b/>
                <w:bCs/>
                <w:color w:val="000000"/>
                <w:kern w:val="0"/>
                <w:sz w:val="32"/>
                <w:szCs w:val="32"/>
                <w:lang w:val="en-US"/>
              </w:rPr>
            </w:pPr>
            <w:r>
              <w:rPr>
                <w:rFonts w:hint="eastAsia" w:ascii="仿宋_GB2312" w:hAnsi="仿宋_GB2312" w:eastAsia="仿宋_GB2312" w:cs="仿宋_GB2312"/>
                <w:b/>
                <w:bCs/>
                <w:color w:val="000000"/>
                <w:kern w:val="0"/>
                <w:sz w:val="32"/>
                <w:szCs w:val="32"/>
                <w:lang w:val="en-US" w:eastAsia="zh-CN" w:bidi="ar"/>
              </w:rPr>
              <w:t>评审分值</w:t>
            </w:r>
          </w:p>
        </w:tc>
        <w:tc>
          <w:tcPr>
            <w:tcW w:w="3792" w:type="pct"/>
            <w:shd w:val="clear" w:color="auto" w:fill="FFFFFF"/>
            <w:tcMar>
              <w:top w:w="15" w:type="dxa"/>
              <w:left w:w="15" w:type="dxa"/>
              <w:right w:w="15" w:type="dxa"/>
            </w:tcMar>
            <w:vAlign w:val="center"/>
          </w:tcPr>
          <w:p>
            <w:pPr>
              <w:keepNext w:val="0"/>
              <w:keepLines w:val="0"/>
              <w:pageBreakBefore w:val="0"/>
              <w:widowControl/>
              <w:suppressLineNumbers w:val="0"/>
              <w:kinsoku/>
              <w:wordWrap w:val="0"/>
              <w:overflowPunct w:val="0"/>
              <w:topLinePunct w:val="0"/>
              <w:autoSpaceDE/>
              <w:autoSpaceDN/>
              <w:bidi w:val="0"/>
              <w:adjustRightInd/>
              <w:snapToGrid/>
              <w:spacing w:before="0" w:beforeAutospacing="0" w:after="0" w:afterAutospacing="0" w:line="500" w:lineRule="exact"/>
              <w:ind w:left="0" w:right="0" w:firstLine="0" w:firstLineChars="0"/>
              <w:jc w:val="center"/>
              <w:textAlignment w:val="center"/>
              <w:rPr>
                <w:rFonts w:hint="eastAsia" w:ascii="仿宋_GB2312" w:hAnsi="仿宋_GB2312" w:eastAsia="仿宋_GB2312" w:cs="仿宋_GB2312"/>
                <w:b/>
                <w:bCs/>
                <w:color w:val="000000"/>
                <w:kern w:val="0"/>
                <w:sz w:val="32"/>
                <w:szCs w:val="32"/>
                <w:lang w:val="en-US"/>
              </w:rPr>
            </w:pPr>
            <w:r>
              <w:rPr>
                <w:rFonts w:hint="eastAsia" w:ascii="仿宋_GB2312" w:hAnsi="仿宋_GB2312" w:eastAsia="仿宋_GB2312" w:cs="仿宋_GB2312"/>
                <w:b/>
                <w:bCs/>
                <w:color w:val="000000"/>
                <w:kern w:val="0"/>
                <w:sz w:val="32"/>
                <w:szCs w:val="32"/>
                <w:lang w:val="en-US" w:eastAsia="zh-CN"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535" w:hRule="atLeast"/>
        </w:trPr>
        <w:tc>
          <w:tcPr>
            <w:tcW w:w="320" w:type="pct"/>
            <w:shd w:val="clear" w:color="auto" w:fill="FFFFFF"/>
            <w:tcMar>
              <w:top w:w="15" w:type="dxa"/>
              <w:left w:w="15" w:type="dxa"/>
              <w:right w:w="15" w:type="dxa"/>
            </w:tcMar>
            <w:vAlign w:val="center"/>
          </w:tcPr>
          <w:p>
            <w:pPr>
              <w:keepNext w:val="0"/>
              <w:keepLines w:val="0"/>
              <w:pageBreakBefore w:val="0"/>
              <w:widowControl/>
              <w:suppressLineNumbers w:val="0"/>
              <w:kinsoku/>
              <w:wordWrap w:val="0"/>
              <w:overflowPunct w:val="0"/>
              <w:topLinePunct w:val="0"/>
              <w:autoSpaceDE/>
              <w:autoSpaceDN/>
              <w:bidi w:val="0"/>
              <w:adjustRightInd/>
              <w:snapToGrid/>
              <w:spacing w:before="0" w:beforeAutospacing="0" w:after="0" w:afterAutospacing="0" w:line="500" w:lineRule="exact"/>
              <w:ind w:left="0" w:right="0" w:firstLine="0" w:firstLineChars="0"/>
              <w:jc w:val="center"/>
              <w:textAlignment w:val="center"/>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1</w:t>
            </w:r>
          </w:p>
        </w:tc>
        <w:tc>
          <w:tcPr>
            <w:tcW w:w="386" w:type="pct"/>
            <w:shd w:val="clear" w:color="auto" w:fill="FFFFFF"/>
            <w:tcMar>
              <w:top w:w="15" w:type="dxa"/>
              <w:left w:w="15" w:type="dxa"/>
              <w:right w:w="15" w:type="dxa"/>
            </w:tcMar>
            <w:vAlign w:val="center"/>
          </w:tcPr>
          <w:p>
            <w:pPr>
              <w:keepNext w:val="0"/>
              <w:keepLines w:val="0"/>
              <w:pageBreakBefore w:val="0"/>
              <w:widowControl/>
              <w:suppressLineNumbers w:val="0"/>
              <w:kinsoku/>
              <w:wordWrap w:val="0"/>
              <w:overflowPunct w:val="0"/>
              <w:topLinePunct w:val="0"/>
              <w:autoSpaceDE/>
              <w:autoSpaceDN/>
              <w:bidi w:val="0"/>
              <w:adjustRightInd/>
              <w:snapToGrid/>
              <w:spacing w:before="0" w:beforeAutospacing="0" w:after="0" w:afterAutospacing="0" w:line="500" w:lineRule="exact"/>
              <w:ind w:left="0" w:right="0" w:firstLine="0" w:firstLineChars="0"/>
              <w:jc w:val="center"/>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服务方案</w:t>
            </w:r>
          </w:p>
        </w:tc>
        <w:tc>
          <w:tcPr>
            <w:tcW w:w="500" w:type="pct"/>
            <w:shd w:val="clear" w:color="auto" w:fill="FFFFFF"/>
            <w:tcMar>
              <w:top w:w="15" w:type="dxa"/>
              <w:left w:w="15" w:type="dxa"/>
              <w:right w:w="15" w:type="dxa"/>
            </w:tcMar>
            <w:vAlign w:val="center"/>
          </w:tcPr>
          <w:p>
            <w:pPr>
              <w:keepNext w:val="0"/>
              <w:keepLines w:val="0"/>
              <w:pageBreakBefore w:val="0"/>
              <w:widowControl/>
              <w:suppressLineNumbers w:val="0"/>
              <w:kinsoku/>
              <w:wordWrap w:val="0"/>
              <w:overflowPunct w:val="0"/>
              <w:topLinePunct w:val="0"/>
              <w:autoSpaceDE/>
              <w:autoSpaceDN/>
              <w:bidi w:val="0"/>
              <w:adjustRightInd/>
              <w:snapToGrid/>
              <w:spacing w:before="0" w:beforeAutospacing="0" w:after="0" w:afterAutospacing="0" w:line="500" w:lineRule="exact"/>
              <w:ind w:left="0" w:right="0" w:firstLine="0" w:firstLineChars="0"/>
              <w:jc w:val="center"/>
              <w:rPr>
                <w:rFonts w:hint="eastAsia"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kern w:val="0"/>
                <w:sz w:val="32"/>
                <w:szCs w:val="32"/>
                <w:lang w:val="en-US" w:eastAsia="zh-CN" w:bidi="ar"/>
              </w:rPr>
              <w:t>40</w:t>
            </w:r>
          </w:p>
        </w:tc>
        <w:tc>
          <w:tcPr>
            <w:tcW w:w="3792" w:type="pct"/>
            <w:shd w:val="clear" w:color="auto" w:fill="FFFFFF"/>
            <w:tcMar>
              <w:top w:w="15" w:type="dxa"/>
              <w:left w:w="15" w:type="dxa"/>
              <w:right w:w="15" w:type="dxa"/>
            </w:tcMar>
            <w:vAlign w:val="center"/>
          </w:tcPr>
          <w:p>
            <w:pPr>
              <w:keepNext w:val="0"/>
              <w:keepLines w:val="0"/>
              <w:pageBreakBefore w:val="0"/>
              <w:widowControl/>
              <w:numPr>
                <w:ilvl w:val="0"/>
                <w:numId w:val="4"/>
              </w:numPr>
              <w:suppressLineNumbers w:val="0"/>
              <w:kinsoku/>
              <w:wordWrap w:val="0"/>
              <w:overflowPunct w:val="0"/>
              <w:topLinePunct w:val="0"/>
              <w:autoSpaceDE/>
              <w:autoSpaceDN/>
              <w:bidi w:val="0"/>
              <w:adjustRightInd/>
              <w:snapToGrid/>
              <w:spacing w:before="0" w:beforeAutospacing="0" w:after="0" w:afterAutospacing="0" w:line="500" w:lineRule="exact"/>
              <w:ind w:left="0" w:right="0" w:firstLine="0" w:firstLineChars="0"/>
              <w:jc w:val="both"/>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根据服务方案的编制情况进行评比打分（含执业经验、服务能力、服务内容、工作实施、质量控制、风险控制、人员安排等），对工作安排与项目要求的匹配程度、工作方法的适用度、工作流程的有序性进行横向比较。</w:t>
            </w:r>
          </w:p>
          <w:p>
            <w:pPr>
              <w:keepNext w:val="0"/>
              <w:keepLines w:val="0"/>
              <w:pageBreakBefore w:val="0"/>
              <w:widowControl/>
              <w:suppressLineNumbers w:val="0"/>
              <w:kinsoku/>
              <w:wordWrap w:val="0"/>
              <w:overflowPunct w:val="0"/>
              <w:topLinePunct w:val="0"/>
              <w:autoSpaceDE/>
              <w:autoSpaceDN/>
              <w:bidi w:val="0"/>
              <w:adjustRightInd/>
              <w:snapToGrid/>
              <w:spacing w:before="0" w:beforeAutospacing="0" w:after="0" w:afterAutospacing="0" w:line="500" w:lineRule="exact"/>
              <w:ind w:left="0" w:right="0" w:firstLine="0" w:firstLineChars="0"/>
              <w:jc w:val="both"/>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分档评分：优得 8-10 分数；良得 5-7 分；一般得 0-4 分；差不得分。（满分 10 分）</w:t>
            </w:r>
          </w:p>
          <w:p>
            <w:pPr>
              <w:keepNext w:val="0"/>
              <w:keepLines w:val="0"/>
              <w:pageBreakBefore w:val="0"/>
              <w:widowControl/>
              <w:numPr>
                <w:ilvl w:val="0"/>
                <w:numId w:val="4"/>
              </w:numPr>
              <w:suppressLineNumbers w:val="0"/>
              <w:kinsoku/>
              <w:wordWrap w:val="0"/>
              <w:overflowPunct w:val="0"/>
              <w:topLinePunct w:val="0"/>
              <w:autoSpaceDE/>
              <w:autoSpaceDN/>
              <w:bidi w:val="0"/>
              <w:adjustRightInd/>
              <w:snapToGrid/>
              <w:spacing w:before="0" w:beforeAutospacing="0" w:after="0" w:afterAutospacing="0" w:line="500" w:lineRule="exact"/>
              <w:ind w:left="0" w:leftChars="0" w:right="0" w:firstLine="0" w:firstLineChars="0"/>
              <w:jc w:val="both"/>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服务质量保障方案完整、保障措施具体有效。按照响应文件响应情况进行横向比较，分档评分：优得 8-10 分数；良得 5-7 分；一般得 0-4 分；差不得分。（满分 10 分）</w:t>
            </w:r>
          </w:p>
          <w:p>
            <w:pPr>
              <w:keepNext w:val="0"/>
              <w:keepLines w:val="0"/>
              <w:pageBreakBefore w:val="0"/>
              <w:widowControl/>
              <w:suppressLineNumbers w:val="0"/>
              <w:kinsoku/>
              <w:wordWrap w:val="0"/>
              <w:overflowPunct w:val="0"/>
              <w:topLinePunct w:val="0"/>
              <w:autoSpaceDE/>
              <w:autoSpaceDN/>
              <w:bidi w:val="0"/>
              <w:adjustRightInd/>
              <w:snapToGrid/>
              <w:spacing w:before="0" w:beforeAutospacing="0" w:after="0" w:afterAutospacing="0" w:line="500" w:lineRule="exact"/>
              <w:ind w:left="0" w:right="0" w:firstLine="0" w:firstLineChars="0"/>
              <w:jc w:val="both"/>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3、项目重难点分析合理准确，解决方案科学可行。按照响应文件响应情况进行横向比较，分档评分：优得 8-10 分数；良得 5-7 分；一般得 0-4 分；差不得分。（满分 10 分）</w:t>
            </w:r>
          </w:p>
          <w:p>
            <w:pPr>
              <w:keepNext w:val="0"/>
              <w:keepLines w:val="0"/>
              <w:pageBreakBefore w:val="0"/>
              <w:widowControl/>
              <w:suppressLineNumbers w:val="0"/>
              <w:kinsoku/>
              <w:wordWrap w:val="0"/>
              <w:overflowPunct w:val="0"/>
              <w:topLinePunct w:val="0"/>
              <w:autoSpaceDE/>
              <w:autoSpaceDN/>
              <w:bidi w:val="0"/>
              <w:adjustRightInd/>
              <w:snapToGrid/>
              <w:spacing w:before="0" w:beforeAutospacing="0" w:after="0" w:afterAutospacing="0" w:line="500" w:lineRule="exact"/>
              <w:ind w:left="0" w:right="0" w:firstLine="0" w:firstLineChars="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4、承诺项目期满后，针对项目问题提供必要解释、咨询；根据本项目实施各阶段进度、验收与罚扣要求，考察</w:t>
            </w:r>
            <w:r>
              <w:rPr>
                <w:rFonts w:hint="eastAsia" w:ascii="仿宋_GB2312" w:hAnsi="仿宋_GB2312" w:eastAsia="仿宋_GB2312" w:cs="仿宋_GB2312"/>
                <w:color w:val="000000"/>
                <w:lang w:eastAsia="zh-CN" w:bidi="ar"/>
              </w:rPr>
              <w:t>参选供应商</w:t>
            </w:r>
            <w:r>
              <w:rPr>
                <w:rFonts w:hint="eastAsia" w:ascii="仿宋_GB2312" w:hAnsi="仿宋_GB2312" w:eastAsia="仿宋_GB2312" w:cs="仿宋_GB2312"/>
                <w:color w:val="000000"/>
                <w:kern w:val="0"/>
                <w:sz w:val="32"/>
                <w:szCs w:val="32"/>
                <w:lang w:val="en-US" w:eastAsia="zh-CN" w:bidi="ar"/>
              </w:rPr>
              <w:t>做出承担违约责任的具体承诺。</w:t>
            </w:r>
          </w:p>
          <w:p>
            <w:pPr>
              <w:keepNext w:val="0"/>
              <w:keepLines w:val="0"/>
              <w:pageBreakBefore w:val="0"/>
              <w:widowControl/>
              <w:suppressLineNumbers w:val="0"/>
              <w:kinsoku/>
              <w:wordWrap w:val="0"/>
              <w:overflowPunct w:val="0"/>
              <w:topLinePunct w:val="0"/>
              <w:autoSpaceDE/>
              <w:autoSpaceDN/>
              <w:bidi w:val="0"/>
              <w:adjustRightInd/>
              <w:snapToGrid/>
              <w:spacing w:before="0" w:beforeAutospacing="0" w:after="0" w:afterAutospacing="0" w:line="500" w:lineRule="exact"/>
              <w:ind w:left="0" w:right="0" w:firstLine="0" w:firstLineChars="0"/>
              <w:jc w:val="both"/>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按照响应文件响应情况进行横向比较，分档评分：优得 8-10 分数；良得 5-7 分；一般得 0-4 分；差不得分。（满分 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0" w:type="pct"/>
            <w:shd w:val="clear" w:color="auto" w:fill="FFFFFF"/>
            <w:tcMar>
              <w:top w:w="15" w:type="dxa"/>
              <w:left w:w="15" w:type="dxa"/>
              <w:right w:w="15" w:type="dxa"/>
            </w:tcMar>
            <w:vAlign w:val="center"/>
          </w:tcPr>
          <w:p>
            <w:pPr>
              <w:keepNext w:val="0"/>
              <w:keepLines w:val="0"/>
              <w:pageBreakBefore w:val="0"/>
              <w:widowControl/>
              <w:suppressLineNumbers w:val="0"/>
              <w:kinsoku/>
              <w:wordWrap w:val="0"/>
              <w:overflowPunct w:val="0"/>
              <w:topLinePunct w:val="0"/>
              <w:autoSpaceDE/>
              <w:autoSpaceDN/>
              <w:bidi w:val="0"/>
              <w:adjustRightInd/>
              <w:snapToGrid/>
              <w:spacing w:before="0" w:beforeAutospacing="0" w:after="0" w:afterAutospacing="0" w:line="500" w:lineRule="exact"/>
              <w:ind w:left="0" w:right="0" w:firstLine="0" w:firstLineChars="0"/>
              <w:jc w:val="center"/>
              <w:textAlignment w:val="center"/>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2</w:t>
            </w:r>
          </w:p>
        </w:tc>
        <w:tc>
          <w:tcPr>
            <w:tcW w:w="386" w:type="pct"/>
            <w:shd w:val="clear" w:color="auto" w:fill="FFFFFF"/>
            <w:tcMar>
              <w:top w:w="15" w:type="dxa"/>
              <w:left w:w="15" w:type="dxa"/>
              <w:right w:w="15" w:type="dxa"/>
            </w:tcMar>
            <w:vAlign w:val="center"/>
          </w:tcPr>
          <w:p>
            <w:pPr>
              <w:keepNext w:val="0"/>
              <w:keepLines w:val="0"/>
              <w:pageBreakBefore w:val="0"/>
              <w:widowControl/>
              <w:suppressLineNumbers w:val="0"/>
              <w:kinsoku/>
              <w:wordWrap w:val="0"/>
              <w:overflowPunct w:val="0"/>
              <w:topLinePunct w:val="0"/>
              <w:autoSpaceDE/>
              <w:autoSpaceDN/>
              <w:bidi w:val="0"/>
              <w:adjustRightInd/>
              <w:snapToGrid/>
              <w:spacing w:before="0" w:beforeAutospacing="0" w:after="0" w:afterAutospacing="0" w:line="500" w:lineRule="exact"/>
              <w:ind w:left="0" w:right="0" w:firstLine="0" w:firstLineChars="0"/>
              <w:jc w:val="center"/>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律所</w:t>
            </w:r>
          </w:p>
          <w:p>
            <w:pPr>
              <w:keepNext w:val="0"/>
              <w:keepLines w:val="0"/>
              <w:pageBreakBefore w:val="0"/>
              <w:widowControl/>
              <w:suppressLineNumbers w:val="0"/>
              <w:kinsoku/>
              <w:wordWrap w:val="0"/>
              <w:overflowPunct w:val="0"/>
              <w:topLinePunct w:val="0"/>
              <w:autoSpaceDE/>
              <w:autoSpaceDN/>
              <w:bidi w:val="0"/>
              <w:adjustRightInd/>
              <w:snapToGrid/>
              <w:spacing w:before="0" w:beforeAutospacing="0" w:after="0" w:afterAutospacing="0" w:line="500" w:lineRule="exact"/>
              <w:ind w:left="0" w:right="0" w:firstLine="0" w:firstLineChars="0"/>
              <w:jc w:val="center"/>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人员配备情况</w:t>
            </w:r>
          </w:p>
        </w:tc>
        <w:tc>
          <w:tcPr>
            <w:tcW w:w="500" w:type="pct"/>
            <w:shd w:val="clear" w:color="auto" w:fill="FFFFFF"/>
            <w:tcMar>
              <w:top w:w="15" w:type="dxa"/>
              <w:left w:w="15" w:type="dxa"/>
              <w:right w:w="15" w:type="dxa"/>
            </w:tcMar>
            <w:vAlign w:val="center"/>
          </w:tcPr>
          <w:p>
            <w:pPr>
              <w:keepNext w:val="0"/>
              <w:keepLines w:val="0"/>
              <w:pageBreakBefore w:val="0"/>
              <w:widowControl/>
              <w:suppressLineNumbers w:val="0"/>
              <w:kinsoku/>
              <w:wordWrap w:val="0"/>
              <w:overflowPunct w:val="0"/>
              <w:topLinePunct w:val="0"/>
              <w:autoSpaceDE/>
              <w:autoSpaceDN/>
              <w:bidi w:val="0"/>
              <w:adjustRightInd/>
              <w:snapToGrid/>
              <w:spacing w:before="0" w:beforeAutospacing="0" w:after="0" w:afterAutospacing="0" w:line="500" w:lineRule="exact"/>
              <w:ind w:left="0" w:right="0" w:firstLine="0" w:firstLineChars="0"/>
              <w:jc w:val="center"/>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10</w:t>
            </w:r>
          </w:p>
        </w:tc>
        <w:tc>
          <w:tcPr>
            <w:tcW w:w="3792" w:type="pct"/>
            <w:shd w:val="clear" w:color="auto" w:fill="FFFFFF"/>
            <w:tcMar>
              <w:top w:w="15" w:type="dxa"/>
              <w:left w:w="15" w:type="dxa"/>
              <w:right w:w="15" w:type="dxa"/>
            </w:tcMar>
            <w:vAlign w:val="center"/>
          </w:tcPr>
          <w:p>
            <w:pPr>
              <w:keepNext w:val="0"/>
              <w:keepLines w:val="0"/>
              <w:pageBreakBefore w:val="0"/>
              <w:widowControl/>
              <w:suppressLineNumbers w:val="0"/>
              <w:kinsoku/>
              <w:wordWrap w:val="0"/>
              <w:overflowPunct w:val="0"/>
              <w:topLinePunct w:val="0"/>
              <w:autoSpaceDE/>
              <w:autoSpaceDN/>
              <w:bidi w:val="0"/>
              <w:adjustRightInd/>
              <w:snapToGrid/>
              <w:spacing w:before="0" w:beforeAutospacing="0" w:after="0" w:afterAutospacing="0" w:line="500" w:lineRule="exact"/>
              <w:ind w:left="0" w:right="0" w:firstLine="0" w:firstLineChars="0"/>
              <w:jc w:val="both"/>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根据指派律师教育背景、工作年限、从业经历、擅长领域、相关代理案例、第三方评奖评优，进行横向对比打分（10-0分）。（满分 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20" w:type="pct"/>
            <w:shd w:val="clear" w:color="auto" w:fill="FFFFFF"/>
            <w:tcMar>
              <w:top w:w="15" w:type="dxa"/>
              <w:left w:w="15" w:type="dxa"/>
              <w:right w:w="15" w:type="dxa"/>
            </w:tcMar>
            <w:vAlign w:val="center"/>
          </w:tcPr>
          <w:p>
            <w:pPr>
              <w:keepNext w:val="0"/>
              <w:keepLines w:val="0"/>
              <w:pageBreakBefore w:val="0"/>
              <w:widowControl/>
              <w:suppressLineNumbers w:val="0"/>
              <w:kinsoku/>
              <w:wordWrap w:val="0"/>
              <w:overflowPunct w:val="0"/>
              <w:topLinePunct w:val="0"/>
              <w:autoSpaceDE/>
              <w:autoSpaceDN/>
              <w:bidi w:val="0"/>
              <w:adjustRightInd/>
              <w:snapToGrid/>
              <w:spacing w:before="0" w:beforeAutospacing="0" w:after="0" w:afterAutospacing="0" w:line="500" w:lineRule="exact"/>
              <w:ind w:left="0" w:right="0" w:firstLine="0" w:firstLineChars="0"/>
              <w:jc w:val="center"/>
              <w:textAlignment w:val="center"/>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3</w:t>
            </w:r>
          </w:p>
        </w:tc>
        <w:tc>
          <w:tcPr>
            <w:tcW w:w="386" w:type="pct"/>
            <w:shd w:val="clear" w:color="auto" w:fill="FFFFFF"/>
            <w:tcMar>
              <w:top w:w="15" w:type="dxa"/>
              <w:left w:w="15" w:type="dxa"/>
              <w:right w:w="15" w:type="dxa"/>
            </w:tcMar>
            <w:vAlign w:val="center"/>
          </w:tcPr>
          <w:p>
            <w:pPr>
              <w:keepNext w:val="0"/>
              <w:keepLines w:val="0"/>
              <w:pageBreakBefore w:val="0"/>
              <w:widowControl/>
              <w:suppressLineNumbers w:val="0"/>
              <w:kinsoku/>
              <w:wordWrap w:val="0"/>
              <w:overflowPunct w:val="0"/>
              <w:topLinePunct w:val="0"/>
              <w:autoSpaceDE/>
              <w:autoSpaceDN/>
              <w:bidi w:val="0"/>
              <w:adjustRightInd/>
              <w:snapToGrid/>
              <w:spacing w:before="0" w:beforeAutospacing="0" w:after="0" w:afterAutospacing="0" w:line="500" w:lineRule="exact"/>
              <w:ind w:left="0" w:right="0" w:firstLine="0" w:firstLineChars="0"/>
              <w:jc w:val="center"/>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经验及业绩情况</w:t>
            </w:r>
          </w:p>
        </w:tc>
        <w:tc>
          <w:tcPr>
            <w:tcW w:w="500" w:type="pct"/>
            <w:shd w:val="clear" w:color="auto" w:fill="FFFFFF"/>
            <w:tcMar>
              <w:top w:w="15" w:type="dxa"/>
              <w:left w:w="15" w:type="dxa"/>
              <w:right w:w="15" w:type="dxa"/>
            </w:tcMar>
            <w:vAlign w:val="center"/>
          </w:tcPr>
          <w:p>
            <w:pPr>
              <w:keepNext w:val="0"/>
              <w:keepLines w:val="0"/>
              <w:pageBreakBefore w:val="0"/>
              <w:widowControl/>
              <w:suppressLineNumbers w:val="0"/>
              <w:kinsoku/>
              <w:wordWrap w:val="0"/>
              <w:overflowPunct w:val="0"/>
              <w:topLinePunct w:val="0"/>
              <w:autoSpaceDE/>
              <w:autoSpaceDN/>
              <w:bidi w:val="0"/>
              <w:adjustRightInd/>
              <w:snapToGrid/>
              <w:spacing w:before="0" w:beforeAutospacing="0" w:after="0" w:afterAutospacing="0" w:line="500" w:lineRule="exact"/>
              <w:ind w:left="0" w:right="0" w:firstLine="0" w:firstLineChars="0"/>
              <w:jc w:val="center"/>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20</w:t>
            </w:r>
          </w:p>
        </w:tc>
        <w:tc>
          <w:tcPr>
            <w:tcW w:w="3792" w:type="pct"/>
            <w:shd w:val="clear" w:color="auto" w:fill="FFFFFF"/>
            <w:tcMar>
              <w:top w:w="15" w:type="dxa"/>
              <w:left w:w="15" w:type="dxa"/>
              <w:right w:w="15" w:type="dxa"/>
            </w:tcMar>
            <w:vAlign w:val="center"/>
          </w:tcPr>
          <w:p>
            <w:pPr>
              <w:keepNext w:val="0"/>
              <w:keepLines w:val="0"/>
              <w:pageBreakBefore w:val="0"/>
              <w:widowControl/>
              <w:suppressLineNumbers w:val="0"/>
              <w:kinsoku/>
              <w:wordWrap w:val="0"/>
              <w:overflowPunct w:val="0"/>
              <w:topLinePunct w:val="0"/>
              <w:autoSpaceDE/>
              <w:autoSpaceDN/>
              <w:bidi w:val="0"/>
              <w:adjustRightInd/>
              <w:snapToGrid/>
              <w:spacing w:before="0" w:beforeAutospacing="0" w:after="0" w:afterAutospacing="0" w:line="500" w:lineRule="exact"/>
              <w:ind w:left="0" w:right="0" w:firstLine="0" w:firstLineChars="0"/>
              <w:jc w:val="both"/>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提供金融机构或类金融机构（担保、小贷等）专项法律服务合同复印件，每提供一份得2分。（满分 20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320" w:type="pct"/>
            <w:shd w:val="clear" w:color="auto" w:fill="FFFFFF"/>
            <w:tcMar>
              <w:top w:w="15" w:type="dxa"/>
              <w:left w:w="15" w:type="dxa"/>
              <w:right w:w="15" w:type="dxa"/>
            </w:tcMar>
            <w:vAlign w:val="center"/>
          </w:tcPr>
          <w:p>
            <w:pPr>
              <w:keepNext w:val="0"/>
              <w:keepLines w:val="0"/>
              <w:pageBreakBefore w:val="0"/>
              <w:widowControl/>
              <w:suppressLineNumbers w:val="0"/>
              <w:kinsoku/>
              <w:wordWrap w:val="0"/>
              <w:overflowPunct w:val="0"/>
              <w:topLinePunct w:val="0"/>
              <w:autoSpaceDE/>
              <w:autoSpaceDN/>
              <w:bidi w:val="0"/>
              <w:adjustRightInd/>
              <w:snapToGrid/>
              <w:spacing w:before="0" w:beforeAutospacing="0" w:after="0" w:afterAutospacing="0" w:line="500" w:lineRule="exact"/>
              <w:ind w:left="0" w:right="0" w:firstLine="0" w:firstLineChars="0"/>
              <w:jc w:val="center"/>
              <w:textAlignment w:val="center"/>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4</w:t>
            </w:r>
          </w:p>
        </w:tc>
        <w:tc>
          <w:tcPr>
            <w:tcW w:w="386" w:type="pct"/>
            <w:shd w:val="clear" w:color="auto" w:fill="FFFFFF"/>
            <w:tcMar>
              <w:top w:w="15" w:type="dxa"/>
              <w:left w:w="15" w:type="dxa"/>
              <w:right w:w="15" w:type="dxa"/>
            </w:tcMar>
            <w:vAlign w:val="center"/>
          </w:tcPr>
          <w:p>
            <w:pPr>
              <w:keepNext w:val="0"/>
              <w:keepLines w:val="0"/>
              <w:pageBreakBefore w:val="0"/>
              <w:widowControl/>
              <w:suppressLineNumbers w:val="0"/>
              <w:kinsoku/>
              <w:wordWrap w:val="0"/>
              <w:overflowPunct w:val="0"/>
              <w:topLinePunct w:val="0"/>
              <w:autoSpaceDE/>
              <w:autoSpaceDN/>
              <w:bidi w:val="0"/>
              <w:adjustRightInd/>
              <w:snapToGrid/>
              <w:spacing w:before="0" w:beforeAutospacing="0" w:after="0" w:afterAutospacing="0" w:line="500" w:lineRule="exact"/>
              <w:ind w:left="0" w:right="0" w:firstLine="0" w:firstLineChars="0"/>
              <w:jc w:val="center"/>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服务报价</w:t>
            </w:r>
          </w:p>
        </w:tc>
        <w:tc>
          <w:tcPr>
            <w:tcW w:w="500" w:type="pct"/>
            <w:shd w:val="clear" w:color="auto" w:fill="FFFFFF"/>
            <w:tcMar>
              <w:top w:w="15" w:type="dxa"/>
              <w:left w:w="15" w:type="dxa"/>
              <w:right w:w="15" w:type="dxa"/>
            </w:tcMar>
            <w:vAlign w:val="center"/>
          </w:tcPr>
          <w:p>
            <w:pPr>
              <w:keepNext w:val="0"/>
              <w:keepLines w:val="0"/>
              <w:pageBreakBefore w:val="0"/>
              <w:widowControl/>
              <w:suppressLineNumbers w:val="0"/>
              <w:kinsoku/>
              <w:wordWrap w:val="0"/>
              <w:overflowPunct w:val="0"/>
              <w:topLinePunct w:val="0"/>
              <w:autoSpaceDE/>
              <w:autoSpaceDN/>
              <w:bidi w:val="0"/>
              <w:adjustRightInd/>
              <w:snapToGrid/>
              <w:spacing w:before="0" w:beforeAutospacing="0" w:after="0" w:afterAutospacing="0" w:line="500" w:lineRule="exact"/>
              <w:ind w:left="0" w:right="0" w:firstLine="0" w:firstLineChars="0"/>
              <w:jc w:val="center"/>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30</w:t>
            </w:r>
          </w:p>
        </w:tc>
        <w:tc>
          <w:tcPr>
            <w:tcW w:w="3792" w:type="pct"/>
            <w:shd w:val="clear" w:color="auto" w:fill="FFFFFF"/>
            <w:tcMar>
              <w:top w:w="15" w:type="dxa"/>
              <w:left w:w="15" w:type="dxa"/>
              <w:right w:w="15" w:type="dxa"/>
            </w:tcMar>
            <w:vAlign w:val="center"/>
          </w:tcPr>
          <w:p>
            <w:pPr>
              <w:keepNext w:val="0"/>
              <w:keepLines w:val="0"/>
              <w:pageBreakBefore w:val="0"/>
              <w:widowControl/>
              <w:suppressLineNumbers w:val="0"/>
              <w:kinsoku/>
              <w:wordWrap w:val="0"/>
              <w:overflowPunct w:val="0"/>
              <w:topLinePunct w:val="0"/>
              <w:autoSpaceDE/>
              <w:autoSpaceDN/>
              <w:bidi w:val="0"/>
              <w:adjustRightInd/>
              <w:snapToGrid/>
              <w:spacing w:before="0" w:beforeAutospacing="0" w:after="0" w:afterAutospacing="0" w:line="500" w:lineRule="exact"/>
              <w:ind w:left="0" w:right="0" w:firstLine="0" w:firstLineChars="0"/>
              <w:jc w:val="both"/>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满足比选文件要求且价格最低的投标价为基准价，其价格得分为满分。</w:t>
            </w:r>
          </w:p>
          <w:p>
            <w:pPr>
              <w:keepNext w:val="0"/>
              <w:keepLines w:val="0"/>
              <w:pageBreakBefore w:val="0"/>
              <w:widowControl/>
              <w:suppressLineNumbers w:val="0"/>
              <w:kinsoku/>
              <w:wordWrap w:val="0"/>
              <w:overflowPunct w:val="0"/>
              <w:topLinePunct w:val="0"/>
              <w:autoSpaceDE/>
              <w:autoSpaceDN/>
              <w:bidi w:val="0"/>
              <w:adjustRightInd/>
              <w:snapToGrid/>
              <w:spacing w:before="0" w:beforeAutospacing="0" w:after="0" w:afterAutospacing="0" w:line="500" w:lineRule="exact"/>
              <w:ind w:left="0" w:right="0" w:firstLine="0" w:firstLineChars="0"/>
              <w:jc w:val="both"/>
              <w:rPr>
                <w:rFonts w:hint="default"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lang w:eastAsia="zh-CN" w:bidi="ar"/>
              </w:rPr>
              <w:t>参选供应商</w:t>
            </w:r>
            <w:r>
              <w:rPr>
                <w:rFonts w:hint="eastAsia" w:ascii="仿宋_GB2312" w:hAnsi="仿宋_GB2312" w:eastAsia="仿宋_GB2312" w:cs="仿宋_GB2312"/>
                <w:color w:val="000000"/>
                <w:kern w:val="0"/>
                <w:sz w:val="32"/>
                <w:szCs w:val="32"/>
                <w:lang w:val="en-US" w:eastAsia="zh-CN" w:bidi="ar"/>
              </w:rPr>
              <w:t>的价格分统一按照下列公式计算：价格得分=(基准价／服务报价)×30%×100</w:t>
            </w:r>
          </w:p>
        </w:tc>
      </w:tr>
    </w:tbl>
    <w:p>
      <w:pPr>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br w:type="page"/>
      </w:r>
    </w:p>
    <w:p>
      <w:pPr>
        <w:widowControl w:val="0"/>
        <w:wordWrap w:val="0"/>
        <w:adjustRightInd w:val="0"/>
        <w:snapToGrid w:val="0"/>
        <w:spacing w:after="0" w:line="560" w:lineRule="exact"/>
        <w:ind w:firstLine="0" w:firstLineChars="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附件2：</w:t>
      </w:r>
    </w:p>
    <w:p>
      <w:pPr>
        <w:shd w:val="clear" w:color="auto" w:fill="FFFFFF"/>
        <w:wordWrap w:val="0"/>
        <w:overflowPunct w:val="0"/>
        <w:spacing w:after="0" w:line="240" w:lineRule="auto"/>
        <w:ind w:firstLine="0" w:firstLineChars="0"/>
        <w:jc w:val="center"/>
        <w:rPr>
          <w:rFonts w:hint="eastAsia" w:ascii="方正小标宋简体" w:hAnsi="方正小标宋简体" w:eastAsia="方正小标宋简体" w:cs="黑体"/>
          <w:sz w:val="44"/>
          <w:szCs w:val="44"/>
          <w:lang w:val="zh-TW" w:eastAsia="zh-TW"/>
        </w:rPr>
      </w:pPr>
      <w:r>
        <w:rPr>
          <w:rFonts w:hint="eastAsia" w:ascii="方正小标宋简体" w:hAnsi="方正小标宋简体" w:eastAsia="方正小标宋简体" w:cs="黑体"/>
          <w:sz w:val="44"/>
          <w:szCs w:val="44"/>
          <w:lang w:val="zh-TW" w:eastAsia="zh-TW"/>
        </w:rPr>
        <w:t>海南联合资产管理有限公司所属企业</w:t>
      </w:r>
    </w:p>
    <w:p>
      <w:pPr>
        <w:shd w:val="clear" w:color="auto" w:fill="FFFFFF"/>
        <w:wordWrap w:val="0"/>
        <w:overflowPunct w:val="0"/>
        <w:spacing w:after="0" w:line="240" w:lineRule="auto"/>
        <w:ind w:firstLine="0" w:firstLineChars="0"/>
        <w:jc w:val="center"/>
        <w:rPr>
          <w:rFonts w:hint="eastAsia" w:ascii="方正小标宋简体" w:hAnsi="方正小标宋简体" w:eastAsia="方正小标宋简体" w:cs="黑体"/>
          <w:sz w:val="44"/>
          <w:szCs w:val="44"/>
          <w:lang w:val="zh-TW" w:eastAsia="zh-TW"/>
        </w:rPr>
      </w:pPr>
      <w:r>
        <w:rPr>
          <w:rFonts w:hint="eastAsia" w:ascii="方正小标宋简体" w:hAnsi="方正小标宋简体" w:eastAsia="方正小标宋简体" w:cs="黑体"/>
          <w:sz w:val="44"/>
          <w:szCs w:val="44"/>
          <w:lang w:val="zh-TW" w:eastAsia="zh-TW"/>
        </w:rPr>
        <w:t>公开比选常年法律顾问项目</w:t>
      </w:r>
    </w:p>
    <w:p>
      <w:pPr>
        <w:wordWrap w:val="0"/>
        <w:overflowPunct w:val="0"/>
        <w:spacing w:line="240" w:lineRule="auto"/>
        <w:ind w:firstLine="0" w:firstLineChars="0"/>
        <w:rPr>
          <w:rFonts w:hint="eastAsia" w:ascii="仿宋_GB2312" w:hAnsi="仿宋_GB2312" w:eastAsia="仿宋_GB2312" w:cs="仿宋_GB2312"/>
          <w:lang w:eastAsia="zh-CN"/>
        </w:rPr>
      </w:pPr>
    </w:p>
    <w:p>
      <w:pPr>
        <w:wordWrap w:val="0"/>
        <w:overflowPunct w:val="0"/>
        <w:spacing w:line="240" w:lineRule="auto"/>
        <w:ind w:firstLine="0" w:firstLineChars="0"/>
        <w:rPr>
          <w:rFonts w:hint="eastAsia" w:ascii="仿宋_GB2312" w:hAnsi="仿宋_GB2312" w:eastAsia="仿宋_GB2312" w:cs="仿宋_GB2312"/>
          <w:lang w:eastAsia="zh-CN"/>
        </w:rPr>
      </w:pPr>
      <w:r>
        <mc:AlternateContent>
          <mc:Choice Requires="wps">
            <w:drawing>
              <wp:anchor distT="0" distB="0" distL="114300" distR="114300" simplePos="0" relativeHeight="251659264" behindDoc="0" locked="0" layoutInCell="1" allowOverlap="1">
                <wp:simplePos x="0" y="0"/>
                <wp:positionH relativeFrom="column">
                  <wp:posOffset>2178050</wp:posOffset>
                </wp:positionH>
                <wp:positionV relativeFrom="paragraph">
                  <wp:posOffset>155575</wp:posOffset>
                </wp:positionV>
                <wp:extent cx="918845" cy="2038350"/>
                <wp:effectExtent l="0" t="0" r="14605" b="0"/>
                <wp:wrapSquare wrapText="bothSides"/>
                <wp:docPr id="2" name="文本框 2"/>
                <wp:cNvGraphicFramePr/>
                <a:graphic xmlns:a="http://schemas.openxmlformats.org/drawingml/2006/main">
                  <a:graphicData uri="http://schemas.microsoft.com/office/word/2010/wordprocessingShape">
                    <wps:wsp>
                      <wps:cNvSpPr txBox="1"/>
                      <wps:spPr>
                        <a:xfrm>
                          <a:off x="0" y="0"/>
                          <a:ext cx="918845" cy="2038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wordWrap w:val="0"/>
                              <w:overflowPunct w:val="0"/>
                              <w:spacing w:after="0" w:line="240" w:lineRule="auto"/>
                              <w:ind w:firstLine="0" w:firstLineChars="0"/>
                              <w:jc w:val="center"/>
                              <w:rPr>
                                <w:rFonts w:hint="eastAsia" w:ascii="方正小标宋简体" w:hAnsi="方正小标宋简体" w:eastAsia="方正小标宋简体" w:cs="黑体"/>
                                <w:sz w:val="60"/>
                                <w:szCs w:val="60"/>
                                <w:lang w:eastAsia="zh-CN"/>
                              </w:rPr>
                            </w:pPr>
                            <w:r>
                              <w:rPr>
                                <w:rFonts w:hint="eastAsia" w:ascii="方正小标宋简体" w:hAnsi="方正小标宋简体" w:eastAsia="方正小标宋简体" w:cs="黑体"/>
                                <w:sz w:val="60"/>
                                <w:szCs w:val="60"/>
                                <w:lang w:eastAsia="zh-CN"/>
                              </w:rPr>
                              <w:t>响应文件</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5pt;margin-top:12.25pt;height:160.5pt;width:72.35pt;mso-wrap-distance-bottom:0pt;mso-wrap-distance-left:9pt;mso-wrap-distance-right:9pt;mso-wrap-distance-top:0pt;z-index:251659264;mso-width-relative:page;mso-height-relative:page;" fillcolor="#FFFFFF [3201]" filled="t" stroked="f" coordsize="21600,21600" o:gfxdata="UEsDBAoAAAAAAIdO4kAAAAAAAAAAAAAAAAAEAAAAZHJzL1BLAwQUAAAACACHTuJAi2JmatkAAAAK&#10;AQAADwAAAGRycy9kb3ducmV2LnhtbE2Py07DMBRE90j8g3WR2FGnbULbNE6FIrHoAqQaNuyc+Oah&#10;2tdR7L7+HncFy9GMZs4Uu6s17IyTHxwJmM8SYEiN0wN1Ar6/3l/WwHxQpJVxhAJu6GFXPj4UKtfu&#10;Qgc8y9CxWEI+VwL6EMacc9/0aJWfuREpeq2brApRTh3Xk7rEcmv4IkleuVUDxYVejVj12BzlyQrY&#10;SFIfsqpvb5tP07b7H7k3SSXE89M82QILeA1/YbjjR3QoI1PtTqQ9MwKW6TJ+CQIWaQYsBtL1agWs&#10;vjtZBrws+P8L5S9QSwMEFAAAAAgAh07iQAOI6LdTAgAAkQQAAA4AAABkcnMvZTJvRG9jLnhtbK1U&#10;zW4aMRC+V+o7WL6XBQIpQSwRBVFVippI6c/ZeL2sJdvj2oZd+gDNG/TUS+99Lp6jYy8QmvaQQzl4&#10;x57PM/N9nmFy3WhFtsJ5CSanvU6XEmE4FNKsc/rxw/LViBIfmCmYAiNyuhOeXk9fvpjUdiz6UIEq&#10;hCMYxPhxbXNahWDHWeZ5JTTzHbDCoLMEp1nArVtnhWM1Rtcq63e7l1kNrrAOuPAeTxetkx4iuucE&#10;hLKUXCyAb7QwoY3qhGIBKflKWk+nqdqyFDzclqUXgaicItOQVkyC9iqu2XTCxmvHbCX5oQT2nBKe&#10;cNJMGkx6CrVggZGNk3+F0pI78FCGDgedtUSSIsii132izX3FrEhcUGpvT6L7/xeWv9/eOSKLnPYp&#10;MUzjg++/P+x//Nr//Eb6UZ7a+jGi7i3iQvMGGmya47nHw8i6KZ2OX+RD0I/i7k7iiiYQjodXvdFo&#10;MKSEo6vfvRhdDJP62eNt63x4K0CTaOTU4eMlTdn2xgesBKFHSEzmQcliKZVKG7dezZUjW4YPvUy/&#10;WCRe+QOmDKlzehlzx1sG4v0WpwzCI9mWVLRCs2oOCqyg2KEADtoO8pYvJVZ5w3y4Yw5bBjnjUIVb&#10;XEoFmAQOFiUVuK//Oo/4nAr2Cb+U1NiEOfVfNswJStQ7g6981RsMYtemzWD4uo8bd+5ZnXvMRs8B&#10;6fdwgC1PZsQHdTRLB/ozTt8s5kUXMxxryylmb815aEcDp5eL2SyBsE8tCzfm3vIYupVttglQyvQo&#10;UahWnYN+2KlJ+MNUxVE43yfU4z/J9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LYmZq2QAAAAoB&#10;AAAPAAAAAAAAAAEAIAAAACIAAABkcnMvZG93bnJldi54bWxQSwECFAAUAAAACACHTuJAA4jot1MC&#10;AACRBAAADgAAAAAAAAABACAAAAAoAQAAZHJzL2Uyb0RvYy54bWxQSwUGAAAAAAYABgBZAQAA7QUA&#10;AAAA&#10;">
                <v:fill on="t" focussize="0,0"/>
                <v:stroke on="f" weight="0.5pt"/>
                <v:imagedata o:title=""/>
                <o:lock v:ext="edit" aspectratio="f"/>
                <v:textbox style="layout-flow:vertical-ideographic;">
                  <w:txbxContent>
                    <w:p>
                      <w:pPr>
                        <w:wordWrap w:val="0"/>
                        <w:overflowPunct w:val="0"/>
                        <w:spacing w:after="0" w:line="240" w:lineRule="auto"/>
                        <w:ind w:firstLine="0" w:firstLineChars="0"/>
                        <w:jc w:val="center"/>
                        <w:rPr>
                          <w:rFonts w:hint="eastAsia" w:ascii="方正小标宋简体" w:hAnsi="方正小标宋简体" w:eastAsia="方正小标宋简体" w:cs="黑体"/>
                          <w:sz w:val="60"/>
                          <w:szCs w:val="60"/>
                          <w:lang w:eastAsia="zh-CN"/>
                        </w:rPr>
                      </w:pPr>
                      <w:r>
                        <w:rPr>
                          <w:rFonts w:hint="eastAsia" w:ascii="方正小标宋简体" w:hAnsi="方正小标宋简体" w:eastAsia="方正小标宋简体" w:cs="黑体"/>
                          <w:sz w:val="60"/>
                          <w:szCs w:val="60"/>
                          <w:lang w:eastAsia="zh-CN"/>
                        </w:rPr>
                        <w:t>响应文件</w:t>
                      </w:r>
                    </w:p>
                  </w:txbxContent>
                </v:textbox>
                <w10:wrap type="square"/>
              </v:shape>
            </w:pict>
          </mc:Fallback>
        </mc:AlternateContent>
      </w:r>
    </w:p>
    <w:p>
      <w:pPr>
        <w:wordWrap w:val="0"/>
        <w:overflowPunct w:val="0"/>
        <w:spacing w:line="240" w:lineRule="auto"/>
        <w:ind w:firstLine="0" w:firstLineChars="0"/>
        <w:rPr>
          <w:rFonts w:hint="eastAsia" w:ascii="仿宋_GB2312" w:hAnsi="仿宋_GB2312" w:eastAsia="仿宋_GB2312" w:cs="仿宋_GB2312"/>
          <w:lang w:eastAsia="zh-CN"/>
        </w:rPr>
      </w:pPr>
    </w:p>
    <w:p>
      <w:pPr>
        <w:wordWrap w:val="0"/>
        <w:overflowPunct w:val="0"/>
        <w:spacing w:line="240" w:lineRule="auto"/>
        <w:ind w:firstLine="0" w:firstLineChars="0"/>
        <w:rPr>
          <w:rFonts w:hint="eastAsia" w:ascii="仿宋_GB2312" w:hAnsi="仿宋_GB2312" w:eastAsia="仿宋_GB2312" w:cs="仿宋_GB2312"/>
          <w:lang w:eastAsia="zh-CN"/>
        </w:rPr>
      </w:pPr>
    </w:p>
    <w:p>
      <w:pPr>
        <w:wordWrap w:val="0"/>
        <w:overflowPunct w:val="0"/>
        <w:spacing w:line="240" w:lineRule="auto"/>
        <w:ind w:firstLine="0" w:firstLineChars="0"/>
        <w:rPr>
          <w:rFonts w:hint="eastAsia" w:ascii="仿宋_GB2312" w:hAnsi="仿宋_GB2312" w:eastAsia="仿宋_GB2312" w:cs="仿宋_GB2312"/>
          <w:lang w:eastAsia="zh-CN"/>
        </w:rPr>
      </w:pPr>
    </w:p>
    <w:p>
      <w:pPr>
        <w:wordWrap w:val="0"/>
        <w:overflowPunct w:val="0"/>
        <w:spacing w:line="240" w:lineRule="auto"/>
        <w:ind w:firstLine="0" w:firstLineChars="0"/>
        <w:rPr>
          <w:rFonts w:hint="eastAsia" w:ascii="仿宋_GB2312" w:hAnsi="仿宋_GB2312" w:eastAsia="仿宋_GB2312" w:cs="仿宋_GB2312"/>
          <w:lang w:eastAsia="zh-CN"/>
        </w:rPr>
      </w:pPr>
    </w:p>
    <w:p>
      <w:pPr>
        <w:wordWrap w:val="0"/>
        <w:overflowPunct w:val="0"/>
        <w:spacing w:line="240" w:lineRule="auto"/>
        <w:ind w:firstLine="0" w:firstLineChars="0"/>
        <w:rPr>
          <w:rFonts w:hint="eastAsia" w:ascii="仿宋_GB2312" w:hAnsi="仿宋_GB2312" w:eastAsia="仿宋_GB2312" w:cs="仿宋_GB2312"/>
          <w:lang w:eastAsia="zh-CN"/>
        </w:rPr>
      </w:pPr>
    </w:p>
    <w:p>
      <w:pPr>
        <w:spacing w:line="240" w:lineRule="auto"/>
        <w:ind w:firstLine="0" w:firstLineChars="0"/>
        <w:rPr>
          <w:rFonts w:hint="eastAsia" w:ascii="仿宋_GB2312" w:hAnsi="仿宋_GB2312" w:eastAsia="仿宋_GB2312" w:cs="仿宋_GB2312"/>
          <w:lang w:eastAsia="zh-CN"/>
        </w:rPr>
      </w:pPr>
    </w:p>
    <w:p>
      <w:pPr>
        <w:spacing w:line="240" w:lineRule="auto"/>
        <w:ind w:firstLine="0" w:firstLineChars="0"/>
        <w:rPr>
          <w:rFonts w:hint="eastAsia" w:ascii="仿宋_GB2312" w:hAnsi="仿宋_GB2312" w:eastAsia="仿宋_GB2312" w:cs="仿宋_GB2312"/>
          <w:lang w:eastAsia="zh-CN"/>
        </w:rPr>
      </w:pPr>
    </w:p>
    <w:p>
      <w:pPr>
        <w:spacing w:line="240" w:lineRule="auto"/>
        <w:ind w:firstLine="0" w:firstLineChars="0"/>
        <w:rPr>
          <w:rFonts w:hint="eastAsia" w:ascii="仿宋_GB2312" w:hAnsi="仿宋_GB2312" w:eastAsia="仿宋_GB2312" w:cs="仿宋_GB2312"/>
          <w:lang w:eastAsia="zh-CN"/>
        </w:rPr>
      </w:pPr>
    </w:p>
    <w:p>
      <w:pPr>
        <w:spacing w:line="240" w:lineRule="auto"/>
        <w:ind w:firstLine="0" w:firstLineChars="0"/>
        <w:rPr>
          <w:rFonts w:hint="eastAsia" w:ascii="仿宋_GB2312" w:hAnsi="仿宋_GB2312" w:eastAsia="仿宋_GB2312" w:cs="仿宋_GB2312"/>
          <w:lang w:eastAsia="zh-CN"/>
        </w:rPr>
      </w:pPr>
    </w:p>
    <w:p>
      <w:pPr>
        <w:spacing w:line="240" w:lineRule="auto"/>
        <w:ind w:firstLine="0" w:firstLineChars="0"/>
        <w:rPr>
          <w:rFonts w:hint="eastAsia" w:ascii="仿宋_GB2312" w:hAnsi="仿宋_GB2312" w:eastAsia="仿宋_GB2312" w:cs="仿宋_GB2312"/>
          <w:lang w:eastAsia="zh-CN"/>
        </w:rPr>
      </w:pPr>
    </w:p>
    <w:p>
      <w:pPr>
        <w:spacing w:line="240" w:lineRule="auto"/>
        <w:ind w:firstLine="1920" w:firstLineChars="600"/>
        <w:rPr>
          <w:rFonts w:hint="eastAsia" w:ascii="仿宋_GB2312" w:hAnsi="仿宋_GB2312" w:eastAsia="仿宋_GB2312" w:cs="仿宋_GB2312"/>
          <w:u w:val="single"/>
          <w:lang w:eastAsia="zh-CN"/>
        </w:rPr>
      </w:pPr>
      <w:r>
        <w:rPr>
          <w:rFonts w:hint="eastAsia" w:ascii="仿宋_GB2312" w:hAnsi="仿宋_GB2312" w:eastAsia="仿宋_GB2312" w:cs="仿宋_GB2312"/>
          <w:lang w:eastAsia="zh-CN"/>
        </w:rPr>
        <w:t>响应供应商：</w:t>
      </w:r>
      <w:r>
        <w:rPr>
          <w:rFonts w:hint="eastAsia" w:ascii="仿宋_GB2312" w:hAnsi="仿宋_GB2312" w:eastAsia="仿宋_GB2312" w:cs="仿宋_GB2312"/>
          <w:u w:val="single"/>
          <w:lang w:eastAsia="zh-CN"/>
        </w:rPr>
        <w:t xml:space="preserve">                </w:t>
      </w:r>
    </w:p>
    <w:p>
      <w:pPr>
        <w:spacing w:line="240" w:lineRule="auto"/>
        <w:ind w:firstLine="1920" w:firstLineChars="600"/>
        <w:rPr>
          <w:rFonts w:hint="eastAsia" w:ascii="仿宋_GB2312" w:hAnsi="仿宋_GB2312" w:eastAsia="仿宋_GB2312" w:cs="仿宋_GB2312"/>
          <w:u w:val="single"/>
          <w:lang w:eastAsia="zh-CN"/>
        </w:rPr>
      </w:pPr>
      <w:r>
        <w:rPr>
          <w:rFonts w:hint="eastAsia" w:ascii="仿宋_GB2312" w:hAnsi="仿宋_GB2312" w:eastAsia="仿宋_GB2312" w:cs="仿宋_GB2312"/>
          <w:lang w:eastAsia="zh-CN"/>
        </w:rPr>
        <w:t>响 应时 间：</w:t>
      </w:r>
      <w:r>
        <w:rPr>
          <w:rFonts w:hint="eastAsia" w:ascii="仿宋_GB2312" w:hAnsi="仿宋_GB2312" w:eastAsia="仿宋_GB2312" w:cs="仿宋_GB2312"/>
          <w:u w:val="single"/>
          <w:lang w:eastAsia="zh-CN"/>
        </w:rPr>
        <w:t xml:space="preserve">                </w:t>
      </w:r>
    </w:p>
    <w:p>
      <w:pPr>
        <w:ind w:firstLine="640"/>
        <w:rPr>
          <w:rFonts w:ascii="仿宋_GB2312" w:hAnsi="仿宋_GB2312" w:eastAsia="仿宋_GB2312" w:cs="仿宋_GB2312"/>
          <w:u w:val="single"/>
          <w:lang w:eastAsia="zh-CN"/>
        </w:rPr>
      </w:pPr>
    </w:p>
    <w:p>
      <w:pPr>
        <w:ind w:firstLine="640"/>
        <w:rPr>
          <w:rFonts w:hint="eastAsia" w:ascii="仿宋_GB2312" w:hAnsi="仿宋_GB2312" w:eastAsia="仿宋_GB2312" w:cs="仿宋_GB2312"/>
          <w:u w:val="single"/>
          <w:lang w:eastAsia="zh-CN"/>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cols w:space="425" w:num="1"/>
          <w:docGrid w:type="lines" w:linePitch="312" w:charSpace="0"/>
        </w:sectPr>
      </w:pPr>
    </w:p>
    <w:p>
      <w:pPr>
        <w:keepNext w:val="0"/>
        <w:keepLines w:val="0"/>
        <w:pageBreakBefore w:val="0"/>
        <w:widowControl w:val="0"/>
        <w:suppressLineNumbers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44"/>
          <w:szCs w:val="44"/>
          <w:lang w:val="en-US" w:eastAsia="zh-CN"/>
        </w:rPr>
        <w:t>响应文件格式要求</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jc w:val="both"/>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全部响应文件需装订成册并按照以下格式编制：</w:t>
      </w:r>
    </w:p>
    <w:p>
      <w:pPr>
        <w:keepNext w:val="0"/>
        <w:keepLines w:val="0"/>
        <w:pageBreakBefore w:val="0"/>
        <w:widowControl w:val="0"/>
        <w:numPr>
          <w:ilvl w:val="0"/>
          <w:numId w:val="5"/>
        </w:numPr>
        <w:kinsoku/>
        <w:wordWrap/>
        <w:overflowPunct/>
        <w:topLinePunct w:val="0"/>
        <w:autoSpaceDE/>
        <w:autoSpaceDN/>
        <w:bidi w:val="0"/>
        <w:adjustRightInd w:val="0"/>
        <w:snapToGrid w:val="0"/>
        <w:spacing w:after="0" w:line="560" w:lineRule="exact"/>
        <w:ind w:firstLine="64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响应文件封面</w:t>
      </w:r>
    </w:p>
    <w:p>
      <w:pPr>
        <w:keepNext w:val="0"/>
        <w:keepLines w:val="0"/>
        <w:pageBreakBefore w:val="0"/>
        <w:widowControl w:val="0"/>
        <w:numPr>
          <w:ilvl w:val="0"/>
          <w:numId w:val="5"/>
        </w:numPr>
        <w:kinsoku/>
        <w:wordWrap/>
        <w:overflowPunct/>
        <w:topLinePunct w:val="0"/>
        <w:autoSpaceDE/>
        <w:autoSpaceDN/>
        <w:bidi w:val="0"/>
        <w:adjustRightInd w:val="0"/>
        <w:snapToGrid w:val="0"/>
        <w:spacing w:after="0" w:line="560" w:lineRule="exact"/>
        <w:ind w:firstLine="64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文件目录</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（三）响应内容</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jc w:val="both"/>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1.单位情况介绍：包含机构、团队人员基本情况介绍；</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highlight w:val="none"/>
          <w:lang w:val="en-US" w:eastAsia="zh-CN"/>
        </w:rPr>
        <w:t>相关证明材料：包含资格审查、综合评审</w:t>
      </w:r>
      <w:r>
        <w:rPr>
          <w:rFonts w:hint="eastAsia" w:ascii="仿宋_GB2312" w:hAnsi="仿宋_GB2312" w:eastAsia="仿宋_GB2312" w:cs="仿宋_GB2312"/>
          <w:lang w:val="en-US" w:eastAsia="zh-CN"/>
        </w:rPr>
        <w:t>等证明材料。</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both"/>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附件2-1：</w:t>
      </w:r>
    </w:p>
    <w:p>
      <w:pPr>
        <w:widowControl w:val="0"/>
        <w:adjustRightInd w:val="0"/>
        <w:snapToGrid w:val="0"/>
        <w:spacing w:after="0" w:line="520" w:lineRule="atLeast"/>
        <w:ind w:firstLine="0" w:firstLineChars="0"/>
        <w:jc w:val="center"/>
        <w:rPr>
          <w:rFonts w:hint="eastAsia" w:ascii="仿宋_GB2312" w:hAnsi="仿宋_GB2312" w:eastAsia="仿宋_GB2312" w:cs="仿宋_GB2312"/>
          <w:lang w:eastAsia="zh-CN"/>
        </w:rPr>
      </w:pPr>
      <w:r>
        <w:rPr>
          <w:rFonts w:hint="eastAsia" w:ascii="黑体" w:hAnsi="黑体" w:eastAsia="黑体" w:cs="黑体"/>
          <w:sz w:val="44"/>
          <w:szCs w:val="44"/>
          <w:lang w:val="en-US" w:eastAsia="zh-CN"/>
        </w:rPr>
        <w:t>律师事务所</w:t>
      </w:r>
      <w:r>
        <w:rPr>
          <w:rFonts w:hint="eastAsia" w:ascii="黑体" w:hAnsi="黑体" w:eastAsia="黑体" w:cs="黑体"/>
          <w:sz w:val="44"/>
          <w:szCs w:val="44"/>
          <w:lang w:eastAsia="zh-CN"/>
        </w:rPr>
        <w:t>基本情况表</w:t>
      </w:r>
    </w:p>
    <w:tbl>
      <w:tblPr>
        <w:tblStyle w:val="7"/>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1412"/>
        <w:gridCol w:w="2019"/>
        <w:gridCol w:w="1711"/>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272" w:type="dxa"/>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机构</w:t>
            </w:r>
          </w:p>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名称</w:t>
            </w:r>
          </w:p>
        </w:tc>
        <w:tc>
          <w:tcPr>
            <w:tcW w:w="7327" w:type="dxa"/>
            <w:gridSpan w:val="4"/>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272" w:type="dxa"/>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注册</w:t>
            </w:r>
          </w:p>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地址</w:t>
            </w:r>
          </w:p>
        </w:tc>
        <w:tc>
          <w:tcPr>
            <w:tcW w:w="3431" w:type="dxa"/>
            <w:gridSpan w:val="2"/>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仿宋_GB2312" w:hAnsi="仿宋_GB2312" w:eastAsia="仿宋_GB2312" w:cs="仿宋_GB2312"/>
                <w:sz w:val="32"/>
                <w:szCs w:val="32"/>
                <w:lang w:eastAsia="zh-CN"/>
              </w:rPr>
            </w:pPr>
          </w:p>
        </w:tc>
        <w:tc>
          <w:tcPr>
            <w:tcW w:w="1711" w:type="dxa"/>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邮政编码</w:t>
            </w:r>
          </w:p>
        </w:tc>
        <w:tc>
          <w:tcPr>
            <w:tcW w:w="2185" w:type="dxa"/>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272" w:type="dxa"/>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成立</w:t>
            </w:r>
          </w:p>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日期</w:t>
            </w:r>
          </w:p>
        </w:tc>
        <w:tc>
          <w:tcPr>
            <w:tcW w:w="3431" w:type="dxa"/>
            <w:gridSpan w:val="2"/>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仿宋_GB2312" w:hAnsi="仿宋_GB2312" w:eastAsia="仿宋_GB2312" w:cs="仿宋_GB2312"/>
                <w:sz w:val="32"/>
                <w:szCs w:val="32"/>
                <w:lang w:eastAsia="zh-CN"/>
              </w:rPr>
            </w:pPr>
          </w:p>
        </w:tc>
        <w:tc>
          <w:tcPr>
            <w:tcW w:w="1711" w:type="dxa"/>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单位负责人</w:t>
            </w:r>
          </w:p>
        </w:tc>
        <w:tc>
          <w:tcPr>
            <w:tcW w:w="2185" w:type="dxa"/>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272" w:type="dxa"/>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执业律师</w:t>
            </w:r>
            <w:r>
              <w:rPr>
                <w:rFonts w:hint="eastAsia" w:ascii="仿宋_GB2312" w:hAnsi="仿宋_GB2312" w:eastAsia="仿宋_GB2312" w:cs="仿宋_GB2312"/>
                <w:b/>
                <w:bCs/>
                <w:sz w:val="32"/>
                <w:szCs w:val="32"/>
                <w:lang w:eastAsia="zh-CN"/>
              </w:rPr>
              <w:t>人数</w:t>
            </w:r>
          </w:p>
        </w:tc>
        <w:tc>
          <w:tcPr>
            <w:tcW w:w="7327" w:type="dxa"/>
            <w:gridSpan w:val="4"/>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272" w:type="dxa"/>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服务团队人数</w:t>
            </w:r>
          </w:p>
        </w:tc>
        <w:tc>
          <w:tcPr>
            <w:tcW w:w="7327" w:type="dxa"/>
            <w:gridSpan w:val="4"/>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272" w:type="dxa"/>
            <w:vMerge w:val="restart"/>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团队</w:t>
            </w:r>
          </w:p>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负责人</w:t>
            </w:r>
          </w:p>
        </w:tc>
        <w:tc>
          <w:tcPr>
            <w:tcW w:w="1412" w:type="dxa"/>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姓名</w:t>
            </w:r>
          </w:p>
        </w:tc>
        <w:tc>
          <w:tcPr>
            <w:tcW w:w="2019" w:type="dxa"/>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仿宋_GB2312" w:hAnsi="仿宋_GB2312" w:eastAsia="仿宋_GB2312" w:cs="仿宋_GB2312"/>
                <w:sz w:val="32"/>
                <w:szCs w:val="32"/>
                <w:lang w:eastAsia="zh-CN"/>
              </w:rPr>
            </w:pPr>
          </w:p>
        </w:tc>
        <w:tc>
          <w:tcPr>
            <w:tcW w:w="1711" w:type="dxa"/>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邮箱</w:t>
            </w:r>
          </w:p>
        </w:tc>
        <w:tc>
          <w:tcPr>
            <w:tcW w:w="2185" w:type="dxa"/>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272" w:type="dxa"/>
            <w:vMerge w:val="continue"/>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仿宋_GB2312" w:hAnsi="仿宋_GB2312" w:eastAsia="仿宋_GB2312" w:cs="仿宋_GB2312"/>
                <w:b/>
                <w:bCs/>
                <w:sz w:val="32"/>
                <w:szCs w:val="32"/>
                <w:lang w:eastAsia="zh-CN"/>
              </w:rPr>
            </w:pPr>
          </w:p>
        </w:tc>
        <w:tc>
          <w:tcPr>
            <w:tcW w:w="1412" w:type="dxa"/>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电话</w:t>
            </w:r>
          </w:p>
        </w:tc>
        <w:tc>
          <w:tcPr>
            <w:tcW w:w="2019" w:type="dxa"/>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仿宋_GB2312" w:hAnsi="仿宋_GB2312" w:eastAsia="仿宋_GB2312" w:cs="仿宋_GB2312"/>
                <w:sz w:val="32"/>
                <w:szCs w:val="32"/>
                <w:lang w:eastAsia="zh-CN"/>
              </w:rPr>
            </w:pPr>
          </w:p>
        </w:tc>
        <w:tc>
          <w:tcPr>
            <w:tcW w:w="1711" w:type="dxa"/>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传真</w:t>
            </w:r>
          </w:p>
        </w:tc>
        <w:tc>
          <w:tcPr>
            <w:tcW w:w="2185" w:type="dxa"/>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atLeast"/>
          <w:jc w:val="center"/>
        </w:trPr>
        <w:tc>
          <w:tcPr>
            <w:tcW w:w="1272" w:type="dxa"/>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备注</w:t>
            </w:r>
          </w:p>
        </w:tc>
        <w:tc>
          <w:tcPr>
            <w:tcW w:w="7327" w:type="dxa"/>
            <w:gridSpan w:val="4"/>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荣誉、奖惩情况</w:t>
            </w:r>
          </w:p>
        </w:tc>
      </w:tr>
    </w:tbl>
    <w:p>
      <w:pPr>
        <w:widowControl w:val="0"/>
        <w:adjustRightInd w:val="0"/>
        <w:snapToGrid w:val="0"/>
        <w:spacing w:after="0" w:line="560" w:lineRule="exact"/>
        <w:ind w:firstLine="0" w:firstLineChars="0"/>
        <w:jc w:val="left"/>
        <w:rPr>
          <w:rFonts w:hint="eastAsia" w:ascii="仿宋_GB2312" w:hAnsi="仿宋_GB2312" w:eastAsia="仿宋_GB2312" w:cs="仿宋_GB2312"/>
          <w:sz w:val="32"/>
          <w:szCs w:val="32"/>
          <w:lang w:eastAsia="zh-CN"/>
        </w:rPr>
      </w:pPr>
      <w:r>
        <w:rPr>
          <w:lang w:eastAsia="zh-CN"/>
        </w:rPr>
        <w:br w:type="page"/>
      </w:r>
      <w:r>
        <w:rPr>
          <w:rFonts w:hint="eastAsia" w:ascii="仿宋_GB2312" w:hAnsi="仿宋_GB2312" w:eastAsia="仿宋_GB2312" w:cs="仿宋_GB2312"/>
          <w:sz w:val="32"/>
          <w:szCs w:val="32"/>
          <w:highlight w:val="none"/>
          <w:lang w:val="en-US" w:eastAsia="zh-CN"/>
        </w:rPr>
        <w:t>附件2-2：</w:t>
      </w:r>
    </w:p>
    <w:p>
      <w:pPr>
        <w:widowControl w:val="0"/>
        <w:adjustRightInd w:val="0"/>
        <w:snapToGrid w:val="0"/>
        <w:spacing w:after="0" w:line="560" w:lineRule="exact"/>
        <w:ind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服务</w:t>
      </w:r>
      <w:r>
        <w:rPr>
          <w:rFonts w:hint="eastAsia" w:ascii="黑体" w:hAnsi="黑体" w:eastAsia="黑体" w:cs="黑体"/>
          <w:sz w:val="44"/>
          <w:szCs w:val="44"/>
          <w:lang w:eastAsia="zh-CN"/>
        </w:rPr>
        <w:t>团队</w:t>
      </w:r>
      <w:r>
        <w:rPr>
          <w:rFonts w:hint="eastAsia" w:ascii="黑体" w:hAnsi="黑体" w:eastAsia="黑体" w:cs="黑体"/>
          <w:sz w:val="44"/>
          <w:szCs w:val="44"/>
          <w:lang w:val="en-US" w:eastAsia="zh-CN"/>
        </w:rPr>
        <w:t>成员</w:t>
      </w:r>
      <w:r>
        <w:rPr>
          <w:rFonts w:hint="eastAsia" w:ascii="黑体" w:hAnsi="黑体" w:eastAsia="黑体" w:cs="黑体"/>
          <w:sz w:val="44"/>
          <w:szCs w:val="44"/>
          <w:lang w:eastAsia="zh-CN"/>
        </w:rPr>
        <w:t>名单</w:t>
      </w:r>
    </w:p>
    <w:p>
      <w:pPr>
        <w:widowControl w:val="0"/>
        <w:adjustRightInd w:val="0"/>
        <w:snapToGrid w:val="0"/>
        <w:spacing w:after="0" w:line="560" w:lineRule="exact"/>
        <w:ind w:firstLine="0" w:firstLineChars="0"/>
        <w:jc w:val="both"/>
        <w:rPr>
          <w:rFonts w:hint="eastAsia" w:ascii="仿宋_GB2312" w:hAnsi="仿宋_GB2312" w:eastAsia="仿宋_GB2312" w:cs="仿宋_GB2312"/>
          <w:lang w:eastAsia="zh-CN"/>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jc w:val="both"/>
        <w:rPr>
          <w:rFonts w:hint="eastAsia" w:ascii="仿宋_GB2312" w:hAnsi="仿宋_GB2312" w:eastAsia="仿宋_GB2312" w:cs="仿宋_GB2312"/>
          <w:lang w:eastAsia="zh-CN"/>
        </w:rPr>
      </w:pPr>
      <w:r>
        <w:rPr>
          <w:rFonts w:hint="eastAsia" w:ascii="仿宋_GB2312" w:hAnsi="仿宋_GB2312" w:eastAsia="仿宋_GB2312" w:cs="仿宋_GB2312"/>
          <w:u w:val="single"/>
          <w:lang w:eastAsia="zh-CN"/>
        </w:rPr>
        <w:t>律师事务所（名称）</w:t>
      </w:r>
      <w:r>
        <w:rPr>
          <w:rFonts w:hint="eastAsia" w:ascii="仿宋_GB2312" w:hAnsi="仿宋_GB2312" w:eastAsia="仿宋_GB2312" w:cs="仿宋_GB2312"/>
          <w:lang w:eastAsia="zh-CN"/>
        </w:rPr>
        <w:t>郑重声明，</w:t>
      </w:r>
      <w:r>
        <w:rPr>
          <w:rFonts w:hint="eastAsia" w:ascii="仿宋_GB2312" w:hAnsi="仿宋_GB2312" w:eastAsia="仿宋_GB2312" w:cs="仿宋_GB2312"/>
          <w:lang w:val="en-US" w:eastAsia="zh-CN"/>
        </w:rPr>
        <w:t>我单位</w:t>
      </w:r>
      <w:r>
        <w:rPr>
          <w:rFonts w:hint="eastAsia" w:ascii="仿宋_GB2312" w:hAnsi="仿宋_GB2312" w:eastAsia="仿宋_GB2312" w:cs="仿宋_GB2312"/>
          <w:lang w:eastAsia="zh-CN"/>
        </w:rPr>
        <w:t>拟委派下列人员作为</w:t>
      </w:r>
      <w:r>
        <w:rPr>
          <w:rFonts w:hint="eastAsia" w:ascii="仿宋_GB2312" w:hAnsi="仿宋_GB2312" w:eastAsia="仿宋_GB2312" w:cs="仿宋_GB2312"/>
          <w:lang w:val="en-US" w:eastAsia="zh-CN"/>
        </w:rPr>
        <w:t>本项目服务</w:t>
      </w:r>
      <w:r>
        <w:rPr>
          <w:rFonts w:hint="eastAsia" w:ascii="仿宋_GB2312" w:hAnsi="仿宋_GB2312" w:eastAsia="仿宋_GB2312" w:cs="仿宋_GB2312"/>
          <w:lang w:eastAsia="zh-CN"/>
        </w:rPr>
        <w:t>团队成员，并确保实际提供服务的团队成员与下列人员一致：</w:t>
      </w:r>
    </w:p>
    <w:tbl>
      <w:tblPr>
        <w:tblStyle w:val="7"/>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990"/>
        <w:gridCol w:w="785"/>
        <w:gridCol w:w="1549"/>
        <w:gridCol w:w="1865"/>
        <w:gridCol w:w="1350"/>
        <w:gridCol w:w="1350"/>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序号</w:t>
            </w:r>
          </w:p>
        </w:tc>
        <w:tc>
          <w:tcPr>
            <w:tcW w:w="990"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姓名</w:t>
            </w:r>
          </w:p>
        </w:tc>
        <w:tc>
          <w:tcPr>
            <w:tcW w:w="785"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年龄</w:t>
            </w:r>
          </w:p>
        </w:tc>
        <w:tc>
          <w:tcPr>
            <w:tcW w:w="1549"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本项目任职</w:t>
            </w:r>
          </w:p>
        </w:tc>
        <w:tc>
          <w:tcPr>
            <w:tcW w:w="1865"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专业资格</w:t>
            </w:r>
          </w:p>
        </w:tc>
        <w:tc>
          <w:tcPr>
            <w:tcW w:w="1350"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学历</w:t>
            </w:r>
          </w:p>
        </w:tc>
        <w:tc>
          <w:tcPr>
            <w:tcW w:w="1350"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执业年限</w:t>
            </w:r>
          </w:p>
        </w:tc>
        <w:tc>
          <w:tcPr>
            <w:tcW w:w="1293"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990"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785"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1549"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1865"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1350"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1350"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1293"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990"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785"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1549"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1865"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1350"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1350"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1293"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990"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785"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1549"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1865"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1350"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1350"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1293"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990"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785"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1549"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1865"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1350"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1350"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1293"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990"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785"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1549"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1865"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1350"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1350"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c>
          <w:tcPr>
            <w:tcW w:w="1293" w:type="dxa"/>
            <w:vAlign w:val="center"/>
          </w:tcPr>
          <w:p>
            <w:pPr>
              <w:keepNext w:val="0"/>
              <w:keepLines w:val="0"/>
              <w:widowControl w:val="0"/>
              <w:suppressLineNumbers w:val="0"/>
              <w:wordWrap w:val="0"/>
              <w:overflowPunct w:val="0"/>
              <w:adjustRightInd w:val="0"/>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z w:val="32"/>
                <w:szCs w:val="32"/>
                <w:lang w:eastAsia="zh-CN"/>
              </w:rPr>
            </w:pPr>
          </w:p>
        </w:tc>
      </w:tr>
    </w:tbl>
    <w:p>
      <w:pPr>
        <w:widowControl w:val="0"/>
        <w:adjustRightInd w:val="0"/>
        <w:snapToGrid w:val="0"/>
        <w:spacing w:after="0" w:line="560" w:lineRule="exact"/>
        <w:ind w:firstLine="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填写说明：</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“本项目任职”分为团队负责人、</w:t>
      </w:r>
      <w:r>
        <w:rPr>
          <w:rFonts w:hint="eastAsia" w:ascii="仿宋_GB2312" w:hAnsi="仿宋_GB2312" w:eastAsia="仿宋_GB2312" w:cs="仿宋_GB2312"/>
          <w:sz w:val="32"/>
          <w:szCs w:val="32"/>
          <w:lang w:val="en-US" w:eastAsia="zh-CN"/>
        </w:rPr>
        <w:t>团队成员</w:t>
      </w:r>
      <w:r>
        <w:rPr>
          <w:rFonts w:hint="eastAsia" w:ascii="仿宋_GB2312" w:hAnsi="仿宋_GB2312" w:eastAsia="仿宋_GB2312" w:cs="仿宋_GB2312"/>
          <w:sz w:val="32"/>
          <w:szCs w:val="32"/>
          <w:lang w:eastAsia="zh-CN"/>
        </w:rPr>
        <w:t>。</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“专业资格”包括执业资格证书</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lang w:eastAsia="zh-CN"/>
        </w:rPr>
        <w:t>职称证书。</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“学历”填写最高学历。</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“备注”中可简要说明团队成员主要从事的业务范围或其他需说明的情况。</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律师事务所（盖章）：</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单位负责人（签</w:t>
      </w:r>
      <w:r>
        <w:rPr>
          <w:rFonts w:hint="eastAsia" w:ascii="仿宋_GB2312" w:hAnsi="仿宋_GB2312" w:eastAsia="仿宋_GB2312" w:cs="仿宋_GB2312"/>
          <w:lang w:val="en-US" w:eastAsia="zh-CN"/>
        </w:rPr>
        <w:t>名</w:t>
      </w:r>
      <w:r>
        <w:rPr>
          <w:rFonts w:hint="eastAsia" w:ascii="仿宋_GB2312" w:hAnsi="仿宋_GB2312" w:eastAsia="仿宋_GB2312" w:cs="仿宋_GB2312"/>
          <w:lang w:eastAsia="zh-CN"/>
        </w:rPr>
        <w:t>）：</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日期：</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br w:type="page"/>
      </w:r>
    </w:p>
    <w:p>
      <w:pPr>
        <w:widowControl w:val="0"/>
        <w:wordWrap w:val="0"/>
        <w:adjustRightInd w:val="0"/>
        <w:snapToGrid w:val="0"/>
        <w:spacing w:after="0" w:line="560" w:lineRule="exact"/>
        <w:ind w:firstLine="0" w:firstLineChars="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附件2-3：</w:t>
      </w:r>
    </w:p>
    <w:p>
      <w:pPr>
        <w:widowControl w:val="0"/>
        <w:wordWrap w:val="0"/>
        <w:adjustRightInd w:val="0"/>
        <w:snapToGrid w:val="0"/>
        <w:spacing w:after="0" w:line="560" w:lineRule="exact"/>
        <w:ind w:firstLine="0" w:firstLineChars="0"/>
        <w:jc w:val="both"/>
        <w:rPr>
          <w:rFonts w:hint="eastAsia" w:ascii="仿宋_GB2312" w:hAnsi="仿宋_GB2312" w:eastAsia="仿宋_GB2312" w:cs="仿宋_GB2312"/>
          <w:lang w:val="en-US" w:eastAsia="zh-CN"/>
        </w:rPr>
      </w:pPr>
    </w:p>
    <w:p>
      <w:pPr>
        <w:widowControl w:val="0"/>
        <w:wordWrap w:val="0"/>
        <w:adjustRightInd w:val="0"/>
        <w:snapToGrid w:val="0"/>
        <w:spacing w:after="0" w:line="560" w:lineRule="exact"/>
        <w:ind w:firstLine="0" w:firstLineChars="0"/>
        <w:jc w:val="both"/>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val="en-US" w:eastAsia="zh-CN"/>
        </w:rPr>
        <w:t>其他文件按照比选文件要求提供（后附）</w:t>
      </w:r>
    </w:p>
    <w:sectPr>
      <w:pgSz w:w="11906" w:h="16838"/>
      <w:pgMar w:top="1440" w:right="1800" w:bottom="1440" w:left="1800"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8BA2A"/>
    <w:multiLevelType w:val="multilevel"/>
    <w:tmpl w:val="99A8BA2A"/>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F4FC8C9C"/>
    <w:multiLevelType w:val="singleLevel"/>
    <w:tmpl w:val="F4FC8C9C"/>
    <w:lvl w:ilvl="0" w:tentative="0">
      <w:start w:val="1"/>
      <w:numFmt w:val="chineseCounting"/>
      <w:suff w:val="nothing"/>
      <w:lvlText w:val="（%1）"/>
      <w:lvlJc w:val="left"/>
      <w:rPr>
        <w:rFonts w:hint="eastAsia"/>
      </w:rPr>
    </w:lvl>
  </w:abstractNum>
  <w:abstractNum w:abstractNumId="2">
    <w:nsid w:val="22A12BC7"/>
    <w:multiLevelType w:val="multilevel"/>
    <w:tmpl w:val="22A12BC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FB7B938"/>
    <w:multiLevelType w:val="multilevel"/>
    <w:tmpl w:val="3FB7B93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6685EC2"/>
    <w:multiLevelType w:val="multilevel"/>
    <w:tmpl w:val="66685EC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HorizontalSpacing w:val="160"/>
  <w:drawingGridVerticalSpacing w:val="435"/>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iM2VhNDFkYjM5MmMxY2Q3MWQ1NzljMTg5ZjJkOTEifQ=="/>
  </w:docVars>
  <w:rsids>
    <w:rsidRoot w:val="00D942AF"/>
    <w:rsid w:val="000042E5"/>
    <w:rsid w:val="000064D2"/>
    <w:rsid w:val="000123BD"/>
    <w:rsid w:val="000168EC"/>
    <w:rsid w:val="00021450"/>
    <w:rsid w:val="000322B4"/>
    <w:rsid w:val="0003231F"/>
    <w:rsid w:val="00041CD3"/>
    <w:rsid w:val="00047EF5"/>
    <w:rsid w:val="000569F6"/>
    <w:rsid w:val="000836EA"/>
    <w:rsid w:val="00083BEE"/>
    <w:rsid w:val="00086F94"/>
    <w:rsid w:val="000D12BE"/>
    <w:rsid w:val="000D190E"/>
    <w:rsid w:val="000D57C1"/>
    <w:rsid w:val="000E0E9C"/>
    <w:rsid w:val="000F0E75"/>
    <w:rsid w:val="000F5F52"/>
    <w:rsid w:val="001016B6"/>
    <w:rsid w:val="00122126"/>
    <w:rsid w:val="001271FF"/>
    <w:rsid w:val="001301CD"/>
    <w:rsid w:val="00136DE2"/>
    <w:rsid w:val="001401AE"/>
    <w:rsid w:val="00146680"/>
    <w:rsid w:val="001478C0"/>
    <w:rsid w:val="001711A5"/>
    <w:rsid w:val="001719CB"/>
    <w:rsid w:val="00172112"/>
    <w:rsid w:val="00177A87"/>
    <w:rsid w:val="001845A2"/>
    <w:rsid w:val="00195A61"/>
    <w:rsid w:val="001A29FB"/>
    <w:rsid w:val="001A3E67"/>
    <w:rsid w:val="001A479C"/>
    <w:rsid w:val="001A7166"/>
    <w:rsid w:val="001C72B7"/>
    <w:rsid w:val="001D6A81"/>
    <w:rsid w:val="001D7C86"/>
    <w:rsid w:val="001E1A1C"/>
    <w:rsid w:val="001E2206"/>
    <w:rsid w:val="001E53D9"/>
    <w:rsid w:val="001F73F4"/>
    <w:rsid w:val="00200AE7"/>
    <w:rsid w:val="00215B29"/>
    <w:rsid w:val="002236EF"/>
    <w:rsid w:val="00250DB0"/>
    <w:rsid w:val="00251CCF"/>
    <w:rsid w:val="00257124"/>
    <w:rsid w:val="00263A61"/>
    <w:rsid w:val="00264A37"/>
    <w:rsid w:val="0028365F"/>
    <w:rsid w:val="002874BF"/>
    <w:rsid w:val="00291FB2"/>
    <w:rsid w:val="0029284C"/>
    <w:rsid w:val="002B7BD9"/>
    <w:rsid w:val="002C562C"/>
    <w:rsid w:val="002D27D2"/>
    <w:rsid w:val="002D3516"/>
    <w:rsid w:val="002E1575"/>
    <w:rsid w:val="002E17A0"/>
    <w:rsid w:val="002E1ED7"/>
    <w:rsid w:val="002F5EED"/>
    <w:rsid w:val="002F7E94"/>
    <w:rsid w:val="00300B70"/>
    <w:rsid w:val="0030303A"/>
    <w:rsid w:val="003068A6"/>
    <w:rsid w:val="00307F1F"/>
    <w:rsid w:val="003149DB"/>
    <w:rsid w:val="00331216"/>
    <w:rsid w:val="00331751"/>
    <w:rsid w:val="0033200B"/>
    <w:rsid w:val="00337765"/>
    <w:rsid w:val="00365D50"/>
    <w:rsid w:val="003664D6"/>
    <w:rsid w:val="003755E4"/>
    <w:rsid w:val="003761A7"/>
    <w:rsid w:val="003A1347"/>
    <w:rsid w:val="003B05E9"/>
    <w:rsid w:val="003D2C42"/>
    <w:rsid w:val="003E4FA2"/>
    <w:rsid w:val="003F464E"/>
    <w:rsid w:val="003F67AE"/>
    <w:rsid w:val="004009C8"/>
    <w:rsid w:val="00411FBF"/>
    <w:rsid w:val="00431A70"/>
    <w:rsid w:val="00432A54"/>
    <w:rsid w:val="00434BF5"/>
    <w:rsid w:val="00436036"/>
    <w:rsid w:val="0045061C"/>
    <w:rsid w:val="00483F16"/>
    <w:rsid w:val="00496E77"/>
    <w:rsid w:val="004B5824"/>
    <w:rsid w:val="004B5B0C"/>
    <w:rsid w:val="004C49B9"/>
    <w:rsid w:val="004C695D"/>
    <w:rsid w:val="004D5284"/>
    <w:rsid w:val="004F1A7C"/>
    <w:rsid w:val="004F310D"/>
    <w:rsid w:val="004F5015"/>
    <w:rsid w:val="004F5E98"/>
    <w:rsid w:val="00514B9B"/>
    <w:rsid w:val="00515011"/>
    <w:rsid w:val="005155BF"/>
    <w:rsid w:val="0052753A"/>
    <w:rsid w:val="0053203E"/>
    <w:rsid w:val="005359F0"/>
    <w:rsid w:val="00537D47"/>
    <w:rsid w:val="0055681A"/>
    <w:rsid w:val="00567449"/>
    <w:rsid w:val="00580DBE"/>
    <w:rsid w:val="00581416"/>
    <w:rsid w:val="0058358E"/>
    <w:rsid w:val="00586703"/>
    <w:rsid w:val="005A24FD"/>
    <w:rsid w:val="005A6B28"/>
    <w:rsid w:val="005A6CFB"/>
    <w:rsid w:val="005C00B0"/>
    <w:rsid w:val="005C41C0"/>
    <w:rsid w:val="005C5C28"/>
    <w:rsid w:val="005C6CF6"/>
    <w:rsid w:val="005D37CB"/>
    <w:rsid w:val="005D3B26"/>
    <w:rsid w:val="005E216B"/>
    <w:rsid w:val="005F0BB5"/>
    <w:rsid w:val="005F2799"/>
    <w:rsid w:val="005F33BE"/>
    <w:rsid w:val="0060408F"/>
    <w:rsid w:val="0060751B"/>
    <w:rsid w:val="00621AE7"/>
    <w:rsid w:val="00625827"/>
    <w:rsid w:val="006351C5"/>
    <w:rsid w:val="0064746D"/>
    <w:rsid w:val="00655170"/>
    <w:rsid w:val="00657614"/>
    <w:rsid w:val="006639A0"/>
    <w:rsid w:val="00667ED3"/>
    <w:rsid w:val="00670CEA"/>
    <w:rsid w:val="00691C8C"/>
    <w:rsid w:val="006B5305"/>
    <w:rsid w:val="006C3957"/>
    <w:rsid w:val="006C470F"/>
    <w:rsid w:val="006C51A7"/>
    <w:rsid w:val="006D7AFE"/>
    <w:rsid w:val="006E19E7"/>
    <w:rsid w:val="006E4B42"/>
    <w:rsid w:val="006F75A3"/>
    <w:rsid w:val="0071084A"/>
    <w:rsid w:val="00712071"/>
    <w:rsid w:val="007120DB"/>
    <w:rsid w:val="00721DEE"/>
    <w:rsid w:val="007235EA"/>
    <w:rsid w:val="00723820"/>
    <w:rsid w:val="00731CF7"/>
    <w:rsid w:val="00732956"/>
    <w:rsid w:val="007447FD"/>
    <w:rsid w:val="00745D14"/>
    <w:rsid w:val="00757302"/>
    <w:rsid w:val="00766C90"/>
    <w:rsid w:val="00767EEE"/>
    <w:rsid w:val="0078500D"/>
    <w:rsid w:val="007A3B07"/>
    <w:rsid w:val="007B1CCF"/>
    <w:rsid w:val="007B28DD"/>
    <w:rsid w:val="007B4A44"/>
    <w:rsid w:val="007D0E9F"/>
    <w:rsid w:val="007D1104"/>
    <w:rsid w:val="007D5CAA"/>
    <w:rsid w:val="007E2AFC"/>
    <w:rsid w:val="007E33D6"/>
    <w:rsid w:val="007F2E4B"/>
    <w:rsid w:val="007F40AA"/>
    <w:rsid w:val="007F6E53"/>
    <w:rsid w:val="007F7EC5"/>
    <w:rsid w:val="0083511F"/>
    <w:rsid w:val="00835D8A"/>
    <w:rsid w:val="008469BF"/>
    <w:rsid w:val="008560A7"/>
    <w:rsid w:val="00856202"/>
    <w:rsid w:val="00871F58"/>
    <w:rsid w:val="00882058"/>
    <w:rsid w:val="00885CC2"/>
    <w:rsid w:val="008959D3"/>
    <w:rsid w:val="008961AA"/>
    <w:rsid w:val="008A071B"/>
    <w:rsid w:val="008D7ED4"/>
    <w:rsid w:val="008E4748"/>
    <w:rsid w:val="008F0DC2"/>
    <w:rsid w:val="008F28B0"/>
    <w:rsid w:val="008F5184"/>
    <w:rsid w:val="00911380"/>
    <w:rsid w:val="0092162D"/>
    <w:rsid w:val="00937D2A"/>
    <w:rsid w:val="00942577"/>
    <w:rsid w:val="00951D60"/>
    <w:rsid w:val="009532E1"/>
    <w:rsid w:val="00955BD4"/>
    <w:rsid w:val="00956F71"/>
    <w:rsid w:val="009704D9"/>
    <w:rsid w:val="00972749"/>
    <w:rsid w:val="00974413"/>
    <w:rsid w:val="00996485"/>
    <w:rsid w:val="009A04FF"/>
    <w:rsid w:val="009A1525"/>
    <w:rsid w:val="009A3364"/>
    <w:rsid w:val="009B0559"/>
    <w:rsid w:val="009B1094"/>
    <w:rsid w:val="009D5840"/>
    <w:rsid w:val="00A1158D"/>
    <w:rsid w:val="00A21146"/>
    <w:rsid w:val="00A53844"/>
    <w:rsid w:val="00A53964"/>
    <w:rsid w:val="00A56562"/>
    <w:rsid w:val="00A604CD"/>
    <w:rsid w:val="00A60D02"/>
    <w:rsid w:val="00A653A6"/>
    <w:rsid w:val="00A7224E"/>
    <w:rsid w:val="00A83563"/>
    <w:rsid w:val="00A9279C"/>
    <w:rsid w:val="00AA0150"/>
    <w:rsid w:val="00AA4CD4"/>
    <w:rsid w:val="00AB6B77"/>
    <w:rsid w:val="00AB6D22"/>
    <w:rsid w:val="00AC55DC"/>
    <w:rsid w:val="00AD6082"/>
    <w:rsid w:val="00AE0D94"/>
    <w:rsid w:val="00AE30F4"/>
    <w:rsid w:val="00B00637"/>
    <w:rsid w:val="00B1117E"/>
    <w:rsid w:val="00B3016D"/>
    <w:rsid w:val="00B40ED6"/>
    <w:rsid w:val="00B44B0B"/>
    <w:rsid w:val="00B4673B"/>
    <w:rsid w:val="00B52CC1"/>
    <w:rsid w:val="00B5488B"/>
    <w:rsid w:val="00B664EB"/>
    <w:rsid w:val="00B81933"/>
    <w:rsid w:val="00B90060"/>
    <w:rsid w:val="00B90C72"/>
    <w:rsid w:val="00B927D0"/>
    <w:rsid w:val="00B934C4"/>
    <w:rsid w:val="00B95495"/>
    <w:rsid w:val="00BA6ACD"/>
    <w:rsid w:val="00BB5ECB"/>
    <w:rsid w:val="00BC3287"/>
    <w:rsid w:val="00BD229C"/>
    <w:rsid w:val="00BE2097"/>
    <w:rsid w:val="00BE2A36"/>
    <w:rsid w:val="00C00C5E"/>
    <w:rsid w:val="00C029D3"/>
    <w:rsid w:val="00C03BD4"/>
    <w:rsid w:val="00C14034"/>
    <w:rsid w:val="00C15B00"/>
    <w:rsid w:val="00C250A2"/>
    <w:rsid w:val="00C5398B"/>
    <w:rsid w:val="00C635E4"/>
    <w:rsid w:val="00C73FD1"/>
    <w:rsid w:val="00C74E2A"/>
    <w:rsid w:val="00C93C6D"/>
    <w:rsid w:val="00C9782B"/>
    <w:rsid w:val="00CA0112"/>
    <w:rsid w:val="00CA5E49"/>
    <w:rsid w:val="00CB4B3D"/>
    <w:rsid w:val="00CC55D0"/>
    <w:rsid w:val="00CD6329"/>
    <w:rsid w:val="00CD6750"/>
    <w:rsid w:val="00CE3175"/>
    <w:rsid w:val="00CE357E"/>
    <w:rsid w:val="00D07E74"/>
    <w:rsid w:val="00D11D1C"/>
    <w:rsid w:val="00D20CCB"/>
    <w:rsid w:val="00D21202"/>
    <w:rsid w:val="00D22838"/>
    <w:rsid w:val="00D32954"/>
    <w:rsid w:val="00D3296D"/>
    <w:rsid w:val="00D377B4"/>
    <w:rsid w:val="00D429A0"/>
    <w:rsid w:val="00D447F3"/>
    <w:rsid w:val="00D572CB"/>
    <w:rsid w:val="00D64D4E"/>
    <w:rsid w:val="00D76DEE"/>
    <w:rsid w:val="00D8047E"/>
    <w:rsid w:val="00D942AF"/>
    <w:rsid w:val="00DB60A1"/>
    <w:rsid w:val="00DC55B4"/>
    <w:rsid w:val="00DE3B5D"/>
    <w:rsid w:val="00E01443"/>
    <w:rsid w:val="00E14CF2"/>
    <w:rsid w:val="00E157C4"/>
    <w:rsid w:val="00E16260"/>
    <w:rsid w:val="00E2124F"/>
    <w:rsid w:val="00E34B5C"/>
    <w:rsid w:val="00E64300"/>
    <w:rsid w:val="00E65041"/>
    <w:rsid w:val="00E6623A"/>
    <w:rsid w:val="00E750CB"/>
    <w:rsid w:val="00E831E1"/>
    <w:rsid w:val="00E847AF"/>
    <w:rsid w:val="00E924AF"/>
    <w:rsid w:val="00E97257"/>
    <w:rsid w:val="00EA40E9"/>
    <w:rsid w:val="00EA6572"/>
    <w:rsid w:val="00EB20C8"/>
    <w:rsid w:val="00EB25B5"/>
    <w:rsid w:val="00EC0509"/>
    <w:rsid w:val="00ED4D25"/>
    <w:rsid w:val="00EE2588"/>
    <w:rsid w:val="00EE6509"/>
    <w:rsid w:val="00EF1880"/>
    <w:rsid w:val="00EF7352"/>
    <w:rsid w:val="00F14226"/>
    <w:rsid w:val="00F15F2C"/>
    <w:rsid w:val="00F26F97"/>
    <w:rsid w:val="00F340EF"/>
    <w:rsid w:val="00F37E96"/>
    <w:rsid w:val="00F47ADB"/>
    <w:rsid w:val="00F62429"/>
    <w:rsid w:val="00F63233"/>
    <w:rsid w:val="00F654B8"/>
    <w:rsid w:val="00F86082"/>
    <w:rsid w:val="00F872F3"/>
    <w:rsid w:val="00FB3CF7"/>
    <w:rsid w:val="00FC7BAD"/>
    <w:rsid w:val="00FD0D1D"/>
    <w:rsid w:val="00FD1076"/>
    <w:rsid w:val="00FD2317"/>
    <w:rsid w:val="00FD32FA"/>
    <w:rsid w:val="00FD3902"/>
    <w:rsid w:val="00FF2B96"/>
    <w:rsid w:val="08D33149"/>
    <w:rsid w:val="0D501F50"/>
    <w:rsid w:val="17FD7965"/>
    <w:rsid w:val="20113853"/>
    <w:rsid w:val="216D7966"/>
    <w:rsid w:val="29567017"/>
    <w:rsid w:val="2D9139BA"/>
    <w:rsid w:val="2E00644A"/>
    <w:rsid w:val="303B56B8"/>
    <w:rsid w:val="30E526D0"/>
    <w:rsid w:val="34CC4988"/>
    <w:rsid w:val="35DD0ADD"/>
    <w:rsid w:val="39DA4F18"/>
    <w:rsid w:val="3AB066C1"/>
    <w:rsid w:val="4665733A"/>
    <w:rsid w:val="532428AF"/>
    <w:rsid w:val="588D7C57"/>
    <w:rsid w:val="5B865931"/>
    <w:rsid w:val="5E58256B"/>
    <w:rsid w:val="63D74F7B"/>
    <w:rsid w:val="6BE50F0B"/>
    <w:rsid w:val="743F7103"/>
    <w:rsid w:val="79640BE1"/>
    <w:rsid w:val="7FCB2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60" w:line="560" w:lineRule="exact"/>
      <w:ind w:firstLine="200" w:firstLineChars="200"/>
    </w:pPr>
    <w:rPr>
      <w:rFonts w:ascii="仿宋" w:hAnsi="仿宋" w:eastAsia="仿宋" w:cs="仿宋"/>
      <w:sz w:val="32"/>
      <w:szCs w:val="32"/>
      <w:lang w:val="en-US" w:eastAsia="en-US"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link w:val="12"/>
    <w:autoRedefine/>
    <w:semiHidden/>
    <w:unhideWhenUsed/>
    <w:qFormat/>
    <w:uiPriority w:val="99"/>
    <w:pPr>
      <w:keepNext w:val="0"/>
      <w:keepLines w:val="0"/>
      <w:widowControl w:val="0"/>
      <w:suppressLineNumbers w:val="0"/>
      <w:spacing w:before="0" w:beforeAutospacing="0" w:after="0" w:afterAutospacing="0" w:line="360" w:lineRule="auto"/>
      <w:ind w:left="0" w:right="0"/>
      <w:jc w:val="both"/>
    </w:pPr>
    <w:rPr>
      <w:rFonts w:hint="eastAsia" w:ascii="宋体" w:hAnsi="Courier New" w:eastAsia="宋体" w:cs="Times New Roman"/>
      <w:spacing w:val="-8"/>
      <w:kern w:val="2"/>
      <w:sz w:val="24"/>
      <w:szCs w:val="20"/>
      <w:lang w:val="en-US" w:eastAsia="zh-CN" w:bidi="ar"/>
    </w:rPr>
  </w:style>
  <w:style w:type="paragraph" w:styleId="3">
    <w:name w:val="footer"/>
    <w:basedOn w:val="1"/>
    <w:link w:val="10"/>
    <w:autoRedefine/>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9"/>
    <w:autoRedefine/>
    <w:unhideWhenUsed/>
    <w:qFormat/>
    <w:uiPriority w:val="99"/>
    <w:pPr>
      <w:tabs>
        <w:tab w:val="center" w:pos="4153"/>
        <w:tab w:val="right" w:pos="8306"/>
      </w:tabs>
      <w:snapToGrid w:val="0"/>
      <w:spacing w:line="240" w:lineRule="atLeast"/>
      <w:jc w:val="center"/>
    </w:pPr>
    <w:rPr>
      <w:sz w:val="18"/>
      <w:szCs w:val="18"/>
    </w:rPr>
  </w:style>
  <w:style w:type="paragraph" w:styleId="5">
    <w:name w:val="Normal (Web)"/>
    <w:basedOn w:val="1"/>
    <w:autoRedefine/>
    <w:semiHidden/>
    <w:unhideWhenUsed/>
    <w:qFormat/>
    <w:uiPriority w:val="99"/>
    <w:pPr>
      <w:spacing w:before="100" w:beforeAutospacing="1" w:after="100" w:afterAutospacing="1" w:line="240" w:lineRule="auto"/>
      <w:ind w:firstLine="0" w:firstLineChars="0"/>
    </w:pPr>
    <w:rPr>
      <w:rFonts w:ascii="宋体" w:hAnsi="宋体" w:eastAsia="宋体" w:cs="宋体"/>
      <w:sz w:val="24"/>
      <w:szCs w:val="24"/>
      <w:lang w:eastAsia="zh-CN"/>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autoRedefine/>
    <w:qFormat/>
    <w:uiPriority w:val="99"/>
    <w:rPr>
      <w:sz w:val="18"/>
      <w:szCs w:val="18"/>
    </w:rPr>
  </w:style>
  <w:style w:type="character" w:customStyle="1" w:styleId="10">
    <w:name w:val="页脚 字符"/>
    <w:basedOn w:val="8"/>
    <w:link w:val="3"/>
    <w:autoRedefine/>
    <w:qFormat/>
    <w:uiPriority w:val="99"/>
    <w:rPr>
      <w:sz w:val="18"/>
      <w:szCs w:val="18"/>
    </w:rPr>
  </w:style>
  <w:style w:type="paragraph" w:styleId="11">
    <w:name w:val="List Paragraph"/>
    <w:basedOn w:val="1"/>
    <w:autoRedefine/>
    <w:unhideWhenUsed/>
    <w:qFormat/>
    <w:uiPriority w:val="99"/>
    <w:pPr>
      <w:ind w:firstLine="420"/>
    </w:pPr>
  </w:style>
  <w:style w:type="character" w:customStyle="1" w:styleId="12">
    <w:name w:val="纯文本 字符"/>
    <w:basedOn w:val="8"/>
    <w:link w:val="2"/>
    <w:autoRedefine/>
    <w:qFormat/>
    <w:uiPriority w:val="0"/>
    <w:rPr>
      <w:rFonts w:hint="eastAsia" w:ascii="宋体" w:hAnsi="Courier New" w:eastAsia="宋体" w:cs="宋体"/>
      <w:spacing w:val="-8"/>
      <w:kern w:val="2"/>
      <w:sz w:val="24"/>
    </w:rPr>
  </w:style>
  <w:style w:type="character" w:customStyle="1" w:styleId="13">
    <w:name w:val="无"/>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5B062E-D5F5-45AA-8D4F-D2DE52A27BD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1244</Words>
  <Characters>1324</Characters>
  <Lines>5</Lines>
  <Paragraphs>1</Paragraphs>
  <TotalTime>1</TotalTime>
  <ScaleCrop>false</ScaleCrop>
  <LinksUpToDate>false</LinksUpToDate>
  <CharactersWithSpaces>1360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2024-10-21T06:38:00Z</dcterms:created>
  <dc:creator>绵翰 凌</dc:creator>
  <cp:lastModifiedBy>CYZEE</cp:lastModifiedBy>
  <dcterms:modified xsi:type="dcterms:W3CDTF">2024-10-24T10:13:52Z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B8AAA80FE6A04E0B8BA29C1791041D88_13</vt:lpwstr>
  </property>
</Properties>
</file>