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4FADE">
      <w:pPr>
        <w:bidi w:val="0"/>
        <w:rPr>
          <w:rFonts w:hint="default" w:ascii="仿宋_GB2312" w:hAnsi="仿宋_GB2312" w:eastAsia="仿宋_GB2312" w:cs="仿宋_GB2312"/>
          <w:color w:val="auto"/>
          <w:sz w:val="32"/>
          <w:szCs w:val="32"/>
          <w:lang w:val="en-US" w:eastAsia="zh-CN"/>
        </w:rPr>
      </w:pPr>
      <w:bookmarkStart w:id="31" w:name="_GoBack"/>
      <w:bookmarkEnd w:id="31"/>
      <w:r>
        <w:rPr>
          <w:rFonts w:hint="eastAsia" w:ascii="仿宋_GB2312" w:hAnsi="仿宋_GB2312" w:eastAsia="仿宋_GB2312" w:cs="仿宋_GB2312"/>
          <w:color w:val="auto"/>
          <w:sz w:val="32"/>
          <w:szCs w:val="32"/>
          <w:lang w:val="en-US" w:eastAsia="zh-CN"/>
        </w:rPr>
        <w:t>附件一：</w:t>
      </w:r>
    </w:p>
    <w:p w14:paraId="79CF4A8C">
      <w:pPr>
        <w:bidi w:val="0"/>
        <w:rPr>
          <w:rFonts w:hint="eastAsia" w:ascii="仿宋_GB2312" w:hAnsi="仿宋_GB2312" w:eastAsia="仿宋_GB2312" w:cs="仿宋_GB2312"/>
          <w:color w:val="auto"/>
          <w:sz w:val="32"/>
          <w:szCs w:val="32"/>
        </w:rPr>
      </w:pPr>
    </w:p>
    <w:p w14:paraId="06560354">
      <w:pPr>
        <w:bidi w:val="0"/>
        <w:jc w:val="center"/>
        <w:outlineLvl w:val="0"/>
        <w:rPr>
          <w:rFonts w:hint="eastAsia" w:ascii="方正小标宋简体" w:hAnsi="方正小标宋简体" w:eastAsia="方正小标宋简体" w:cs="方正小标宋简体"/>
          <w:color w:val="auto"/>
          <w:sz w:val="44"/>
          <w:szCs w:val="52"/>
        </w:rPr>
      </w:pPr>
      <w:bookmarkStart w:id="0" w:name="_Toc13096"/>
      <w:bookmarkStart w:id="1" w:name="_Toc12106"/>
      <w:r>
        <w:rPr>
          <w:rFonts w:hint="eastAsia" w:ascii="方正小标宋简体" w:hAnsi="方正小标宋简体" w:eastAsia="方正小标宋简体" w:cs="方正小标宋简体"/>
          <w:color w:val="auto"/>
          <w:sz w:val="44"/>
          <w:szCs w:val="52"/>
        </w:rPr>
        <w:t>海南联合资产管理有限公司</w:t>
      </w:r>
      <w:bookmarkEnd w:id="0"/>
      <w:bookmarkEnd w:id="1"/>
    </w:p>
    <w:p w14:paraId="66788B7C">
      <w:pPr>
        <w:bidi w:val="0"/>
        <w:jc w:val="center"/>
        <w:outlineLvl w:val="0"/>
        <w:rPr>
          <w:rFonts w:hint="eastAsia" w:ascii="方正小标宋简体" w:hAnsi="方正小标宋简体" w:eastAsia="方正小标宋简体" w:cs="方正小标宋简体"/>
          <w:color w:val="auto"/>
          <w:sz w:val="44"/>
          <w:szCs w:val="52"/>
          <w:lang w:val="en-US" w:eastAsia="zh-CN"/>
        </w:rPr>
      </w:pPr>
      <w:bookmarkStart w:id="2" w:name="_Toc3610"/>
      <w:bookmarkStart w:id="3" w:name="_Toc1250"/>
      <w:r>
        <w:rPr>
          <w:rFonts w:hint="eastAsia" w:ascii="方正小标宋简体" w:hAnsi="方正小标宋简体" w:eastAsia="方正小标宋简体" w:cs="方正小标宋简体"/>
          <w:color w:val="auto"/>
          <w:sz w:val="44"/>
          <w:szCs w:val="52"/>
          <w:lang w:val="en-US" w:eastAsia="zh-CN"/>
        </w:rPr>
        <w:t>公开比选</w:t>
      </w:r>
      <w:r>
        <w:rPr>
          <w:rFonts w:hint="eastAsia" w:ascii="方正小标宋简体" w:hAnsi="方正小标宋简体" w:eastAsia="方正小标宋简体" w:cs="方正小标宋简体"/>
          <w:color w:val="auto"/>
          <w:sz w:val="44"/>
          <w:szCs w:val="52"/>
        </w:rPr>
        <w:t>常年法律顾问</w:t>
      </w:r>
      <w:bookmarkEnd w:id="2"/>
      <w:r>
        <w:rPr>
          <w:rFonts w:hint="eastAsia" w:ascii="方正小标宋简体" w:hAnsi="方正小标宋简体" w:eastAsia="方正小标宋简体" w:cs="方正小标宋简体"/>
          <w:color w:val="auto"/>
          <w:sz w:val="44"/>
          <w:szCs w:val="52"/>
          <w:lang w:val="en-US" w:eastAsia="zh-CN"/>
        </w:rPr>
        <w:t>项目</w:t>
      </w:r>
      <w:bookmarkEnd w:id="3"/>
    </w:p>
    <w:p w14:paraId="6ED1A40B">
      <w:pPr>
        <w:bidi w:val="0"/>
        <w:rPr>
          <w:rFonts w:hint="eastAsia" w:ascii="仿宋_GB2312" w:hAnsi="仿宋_GB2312" w:eastAsia="仿宋_GB2312" w:cs="仿宋_GB2312"/>
          <w:color w:val="auto"/>
          <w:sz w:val="32"/>
          <w:szCs w:val="32"/>
        </w:rPr>
      </w:pPr>
    </w:p>
    <w:p w14:paraId="0F440614">
      <w:pPr>
        <w:bidi w:val="0"/>
        <w:rPr>
          <w:rFonts w:hint="eastAsia" w:ascii="仿宋_GB2312" w:hAnsi="仿宋_GB2312" w:eastAsia="仿宋_GB2312" w:cs="仿宋_GB2312"/>
          <w:color w:val="auto"/>
          <w:sz w:val="32"/>
          <w:szCs w:val="32"/>
        </w:rPr>
      </w:pPr>
    </w:p>
    <w:p w14:paraId="39F8F5FC">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比</w:t>
      </w:r>
    </w:p>
    <w:p w14:paraId="583516C4">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选</w:t>
      </w:r>
    </w:p>
    <w:p w14:paraId="5A873809">
      <w:pPr>
        <w:bidi w:val="0"/>
        <w:jc w:val="center"/>
        <w:rPr>
          <w:rFonts w:hint="eastAsia"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文</w:t>
      </w:r>
    </w:p>
    <w:p w14:paraId="7262951E">
      <w:pPr>
        <w:bidi w:val="0"/>
        <w:jc w:val="center"/>
        <w:outlineLvl w:val="0"/>
        <w:rPr>
          <w:rFonts w:hint="eastAsia" w:ascii="方正小标宋简体" w:hAnsi="方正小标宋简体" w:eastAsia="方正小标宋简体" w:cs="方正小标宋简体"/>
          <w:color w:val="auto"/>
          <w:sz w:val="96"/>
          <w:szCs w:val="96"/>
        </w:rPr>
      </w:pPr>
      <w:bookmarkStart w:id="4" w:name="_Toc22705"/>
      <w:bookmarkStart w:id="5" w:name="_Toc8767"/>
      <w:r>
        <w:rPr>
          <w:rFonts w:hint="eastAsia" w:ascii="方正小标宋简体" w:hAnsi="方正小标宋简体" w:eastAsia="方正小标宋简体" w:cs="方正小标宋简体"/>
          <w:color w:val="auto"/>
          <w:sz w:val="96"/>
          <w:szCs w:val="96"/>
        </w:rPr>
        <w:t>件</w:t>
      </w:r>
      <w:bookmarkEnd w:id="4"/>
      <w:bookmarkEnd w:id="5"/>
    </w:p>
    <w:p w14:paraId="3346FB01">
      <w:pPr>
        <w:bidi w:val="0"/>
        <w:rPr>
          <w:rFonts w:hint="eastAsia" w:ascii="仿宋_GB2312" w:hAnsi="仿宋_GB2312" w:eastAsia="仿宋_GB2312" w:cs="仿宋_GB2312"/>
          <w:color w:val="auto"/>
          <w:sz w:val="32"/>
          <w:szCs w:val="32"/>
        </w:rPr>
      </w:pPr>
    </w:p>
    <w:p w14:paraId="1626392F">
      <w:pPr>
        <w:bidi w:val="0"/>
        <w:rPr>
          <w:rFonts w:hint="eastAsia" w:ascii="仿宋_GB2312" w:hAnsi="仿宋_GB2312" w:eastAsia="仿宋_GB2312" w:cs="仿宋_GB2312"/>
          <w:color w:val="auto"/>
          <w:sz w:val="32"/>
          <w:szCs w:val="32"/>
        </w:rPr>
      </w:pPr>
    </w:p>
    <w:p w14:paraId="484B14A2">
      <w:pPr>
        <w:bidi w:val="0"/>
        <w:ind w:firstLine="1280" w:firstLineChars="400"/>
        <w:outlineLvl w:val="0"/>
        <w:rPr>
          <w:rFonts w:hint="eastAsia" w:ascii="黑体" w:hAnsi="黑体" w:eastAsia="黑体" w:cs="黑体"/>
          <w:b w:val="0"/>
          <w:bCs w:val="0"/>
          <w:color w:val="auto"/>
          <w:sz w:val="32"/>
          <w:szCs w:val="32"/>
          <w:u w:val="single"/>
          <w:lang w:eastAsia="zh-CN"/>
        </w:rPr>
      </w:pPr>
      <w:bookmarkStart w:id="6" w:name="_Toc2296"/>
      <w:bookmarkStart w:id="7" w:name="_Toc22368"/>
      <w:r>
        <w:rPr>
          <w:rFonts w:hint="eastAsia" w:ascii="黑体" w:hAnsi="黑体" w:eastAsia="黑体" w:cs="黑体"/>
          <w:b w:val="0"/>
          <w:bCs w:val="0"/>
          <w:color w:val="auto"/>
          <w:sz w:val="32"/>
          <w:szCs w:val="32"/>
          <w:lang w:val="en-US" w:eastAsia="zh-CN"/>
        </w:rPr>
        <w:t>采 购 人</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海南联合资产管理有限公司</w:t>
      </w:r>
      <w:bookmarkEnd w:id="6"/>
      <w:bookmarkEnd w:id="7"/>
    </w:p>
    <w:p w14:paraId="2F189110">
      <w:pPr>
        <w:bidi w:val="0"/>
        <w:ind w:firstLine="1280" w:firstLineChars="400"/>
        <w:rPr>
          <w:rFonts w:hint="eastAsia" w:ascii="黑体" w:hAnsi="黑体" w:eastAsia="黑体" w:cs="黑体"/>
          <w:b w:val="0"/>
          <w:bCs w:val="0"/>
          <w:color w:val="auto"/>
          <w:sz w:val="32"/>
          <w:szCs w:val="32"/>
          <w:u w:val="single"/>
          <w:lang w:val="en-US" w:eastAsia="zh-CN"/>
        </w:rPr>
      </w:pPr>
      <w:r>
        <w:rPr>
          <w:rFonts w:hint="eastAsia" w:ascii="黑体" w:hAnsi="黑体" w:eastAsia="黑体" w:cs="黑体"/>
          <w:b w:val="0"/>
          <w:bCs w:val="0"/>
          <w:color w:val="auto"/>
          <w:sz w:val="32"/>
          <w:szCs w:val="32"/>
          <w:lang w:val="en-US" w:eastAsia="zh-CN"/>
        </w:rPr>
        <w:t>采购日期</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 xml:space="preserve"> </w:t>
      </w:r>
      <w:r>
        <w:rPr>
          <w:rFonts w:hint="eastAsia" w:ascii="黑体" w:hAnsi="黑体" w:eastAsia="黑体" w:cs="黑体"/>
          <w:b w:val="0"/>
          <w:bCs w:val="0"/>
          <w:color w:val="auto"/>
          <w:sz w:val="32"/>
          <w:szCs w:val="32"/>
          <w:u w:val="single"/>
          <w:lang w:val="en-US" w:eastAsia="zh-CN"/>
        </w:rPr>
        <w:t xml:space="preserve">   </w:t>
      </w:r>
      <w:r>
        <w:rPr>
          <w:rFonts w:hint="eastAsia" w:ascii="黑体" w:hAnsi="黑体" w:eastAsia="黑体" w:cs="黑体"/>
          <w:b w:val="0"/>
          <w:bCs w:val="0"/>
          <w:color w:val="auto"/>
          <w:sz w:val="32"/>
          <w:szCs w:val="32"/>
          <w:u w:val="single"/>
        </w:rPr>
        <w:t>202</w:t>
      </w:r>
      <w:r>
        <w:rPr>
          <w:rFonts w:hint="eastAsia" w:ascii="黑体" w:hAnsi="黑体" w:eastAsia="黑体" w:cs="黑体"/>
          <w:b w:val="0"/>
          <w:bCs w:val="0"/>
          <w:color w:val="auto"/>
          <w:sz w:val="32"/>
          <w:szCs w:val="32"/>
          <w:u w:val="single"/>
          <w:lang w:val="en-US" w:eastAsia="zh-CN"/>
        </w:rPr>
        <w:t>5</w:t>
      </w:r>
      <w:r>
        <w:rPr>
          <w:rFonts w:hint="eastAsia" w:ascii="黑体" w:hAnsi="黑体" w:eastAsia="黑体" w:cs="黑体"/>
          <w:b w:val="0"/>
          <w:bCs w:val="0"/>
          <w:color w:val="auto"/>
          <w:sz w:val="32"/>
          <w:szCs w:val="32"/>
          <w:u w:val="single"/>
        </w:rPr>
        <w:t>年</w:t>
      </w:r>
      <w:r>
        <w:rPr>
          <w:rFonts w:hint="eastAsia" w:ascii="黑体" w:hAnsi="黑体" w:eastAsia="黑体" w:cs="黑体"/>
          <w:b w:val="0"/>
          <w:bCs w:val="0"/>
          <w:color w:val="auto"/>
          <w:sz w:val="32"/>
          <w:szCs w:val="32"/>
          <w:u w:val="single"/>
          <w:lang w:val="en-US" w:eastAsia="zh-CN"/>
        </w:rPr>
        <w:t xml:space="preserve">6月10日    </w:t>
      </w:r>
    </w:p>
    <w:p w14:paraId="73692DA2">
      <w:pPr>
        <w:bidi w:val="0"/>
        <w:ind w:firstLine="1280" w:firstLineChars="400"/>
        <w:rPr>
          <w:rFonts w:hint="eastAsia" w:ascii="黑体" w:hAnsi="黑体" w:eastAsia="黑体" w:cs="黑体"/>
          <w:b w:val="0"/>
          <w:bCs w:val="0"/>
          <w:color w:val="auto"/>
          <w:sz w:val="32"/>
          <w:szCs w:val="32"/>
          <w:u w:val="single"/>
          <w:lang w:val="en-US"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4FA09ED5">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p w14:paraId="6F0C821E">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sdt>
      <w:sdtPr>
        <w:rPr>
          <w:rFonts w:hint="eastAsia" w:ascii="黑体" w:hAnsi="黑体" w:eastAsia="黑体" w:cs="黑体"/>
          <w:color w:val="auto"/>
          <w:kern w:val="2"/>
          <w:sz w:val="44"/>
          <w:szCs w:val="44"/>
          <w:lang w:val="en-US" w:eastAsia="zh-CN" w:bidi="ar-SA"/>
        </w:rPr>
        <w:id w:val="147475105"/>
        <w15:color w:val="DBDBDB"/>
        <w:docPartObj>
          <w:docPartGallery w:val="Table of Contents"/>
          <w:docPartUnique/>
        </w:docPartObj>
      </w:sdtPr>
      <w:sdtEndPr>
        <w:rPr>
          <w:rFonts w:hint="eastAsia" w:ascii="黑体" w:hAnsi="黑体" w:eastAsia="黑体" w:cs="黑体"/>
          <w:b w:val="0"/>
          <w:bCs w:val="0"/>
          <w:i w:val="0"/>
          <w:iCs w:val="0"/>
          <w:color w:val="auto"/>
          <w:kern w:val="2"/>
          <w:sz w:val="32"/>
          <w:szCs w:val="32"/>
          <w:lang w:val="en-US" w:eastAsia="zh-CN" w:bidi="ar-SA"/>
        </w:rPr>
      </w:sdtEndPr>
      <w:sdtContent>
        <w:p w14:paraId="064AF5D1">
          <w:pPr>
            <w:pStyle w:val="58"/>
            <w:keepNext w:val="0"/>
            <w:keepLines w:val="0"/>
            <w:pageBreakBefore w:val="0"/>
            <w:widowControl w:val="0"/>
            <w:tabs>
              <w:tab w:val="center" w:pos="4880"/>
              <w:tab w:val="left" w:pos="6123"/>
            </w:tabs>
            <w:kinsoku/>
            <w:wordWrap w:val="0"/>
            <w:overflowPunct w:val="0"/>
            <w:topLinePunct w:val="0"/>
            <w:autoSpaceDE/>
            <w:autoSpaceDN/>
            <w:bidi w:val="0"/>
            <w:adjustRightInd/>
            <w:snapToGrid/>
            <w:spacing w:before="313" w:beforeLines="100" w:after="313" w:afterLines="100" w:line="480" w:lineRule="auto"/>
            <w:ind w:left="0" w:leftChars="0"/>
            <w:jc w:val="center"/>
            <w:textAlignment w:val="auto"/>
            <w:rPr>
              <w:rFonts w:hint="eastAsia" w:ascii="黑体" w:hAnsi="黑体" w:eastAsia="黑体" w:cs="黑体"/>
              <w:color w:val="auto"/>
              <w:sz w:val="44"/>
              <w:szCs w:val="44"/>
            </w:rPr>
          </w:pPr>
          <w:bookmarkStart w:id="8" w:name="_Hlk81810315"/>
          <w:bookmarkStart w:id="9" w:name="_Toc5819"/>
          <w:r>
            <w:rPr>
              <w:rFonts w:hint="eastAsia" w:ascii="黑体" w:hAnsi="黑体" w:eastAsia="黑体" w:cs="黑体"/>
              <w:b w:val="0"/>
              <w:color w:val="auto"/>
              <w:kern w:val="2"/>
              <w:sz w:val="44"/>
              <w:szCs w:val="44"/>
              <w:lang w:val="en-US" w:eastAsia="zh-CN" w:bidi="ar-SA"/>
            </w:rPr>
            <w:t>目  录</w:t>
          </w:r>
        </w:p>
        <w:p w14:paraId="29FD303D">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color w:val="auto"/>
              <w:sz w:val="32"/>
              <w:szCs w:val="32"/>
              <w:lang w:val="en-US" w:eastAsia="zh-CN"/>
            </w:rPr>
            <w:instrText xml:space="preserve">TOC \o "1-1" \h \u </w:instrText>
          </w:r>
          <w:r>
            <w:rPr>
              <w:rFonts w:hint="eastAsia" w:ascii="黑体" w:hAnsi="黑体" w:eastAsia="黑体" w:cs="黑体"/>
              <w:b w:val="0"/>
              <w:bCs w:val="0"/>
              <w:i w:val="0"/>
              <w:iCs w:val="0"/>
              <w:color w:val="auto"/>
              <w:sz w:val="32"/>
              <w:szCs w:val="32"/>
              <w:lang w:val="en-US" w:eastAsia="zh-CN"/>
            </w:rPr>
            <w:fldChar w:fldCharType="separate"/>
          </w:r>
        </w:p>
        <w:p w14:paraId="269F6D76">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_Toc29966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第一章 采购公告</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_Toc29966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142AFAAC">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_Toc31223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第二章 参选须知</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_Toc31223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- 8 -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36F35E29">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_Toc20971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第三章 评审办法</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_Toc20971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- 13 -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4A46355E">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_Toc3953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第四章 服务合同文本</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_Toc3953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- 19 -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4DD86D56">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_Toc23147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第五章 参选文件格式</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_Toc23147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- 28 -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2CBDA53A">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sz w:val="32"/>
              <w:szCs w:val="32"/>
              <w:lang w:val="en-US" w:eastAsia="zh-CN"/>
            </w:rPr>
          </w:pPr>
          <w:r>
            <w:rPr>
              <w:rFonts w:hint="eastAsia" w:ascii="黑体" w:hAnsi="黑体" w:eastAsia="黑体" w:cs="黑体"/>
              <w:b w:val="0"/>
              <w:bCs w:val="0"/>
              <w:i w:val="0"/>
              <w:iCs w:val="0"/>
              <w:color w:val="auto"/>
              <w:sz w:val="32"/>
              <w:szCs w:val="32"/>
              <w:lang w:val="en-US" w:eastAsia="zh-CN"/>
            </w:rPr>
            <w:fldChar w:fldCharType="end"/>
          </w:r>
        </w:p>
      </w:sdtContent>
    </w:sdt>
    <w:p w14:paraId="38390767">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sz w:val="32"/>
          <w:szCs w:val="32"/>
          <w:lang w:val="en-US" w:eastAsia="zh-CN"/>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095D0EDB">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10" w:name="_Toc29966"/>
      <w:r>
        <w:rPr>
          <w:rFonts w:hint="eastAsia" w:ascii="黑体" w:hAnsi="黑体" w:eastAsia="黑体" w:cs="黑体"/>
          <w:b w:val="0"/>
          <w:bCs w:val="0"/>
          <w:color w:val="auto"/>
          <w:lang w:val="en-US" w:eastAsia="zh-CN"/>
        </w:rPr>
        <w:t>第一章 采购公告</w:t>
      </w:r>
      <w:bookmarkEnd w:id="10"/>
    </w:p>
    <w:p w14:paraId="47106A32">
      <w:pPr>
        <w:keepNext w:val="0"/>
        <w:keepLines w:val="0"/>
        <w:pageBreakBefore w:val="0"/>
        <w:widowControl w:val="0"/>
        <w:kinsoku/>
        <w:wordWrap w:val="0"/>
        <w:overflowPunct w:val="0"/>
        <w:topLinePunct w:val="0"/>
        <w:autoSpaceDE/>
        <w:autoSpaceDN/>
        <w:bidi w:val="0"/>
        <w:adjustRightInd/>
        <w:snapToGrid/>
        <w:spacing w:line="560" w:lineRule="exact"/>
        <w:ind w:firstLine="0" w:firstLineChars="0"/>
        <w:jc w:val="both"/>
        <w:textAlignment w:val="auto"/>
        <w:rPr>
          <w:rFonts w:hint="default" w:ascii="仿宋_GB2312" w:hAnsi="仿宋_GB2312" w:eastAsia="仿宋_GB2312" w:cs="仿宋_GB2312"/>
          <w:color w:val="auto"/>
          <w:sz w:val="32"/>
          <w:szCs w:val="32"/>
          <w:lang w:val="en-US" w:eastAsia="zh-CN"/>
        </w:rPr>
      </w:pPr>
    </w:p>
    <w:p w14:paraId="752A1398">
      <w:pPr>
        <w:keepNext w:val="0"/>
        <w:keepLines w:val="0"/>
        <w:pageBreakBefore w:val="0"/>
        <w:widowControl w:val="0"/>
        <w:kinsoku/>
        <w:wordWrap w:val="0"/>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海南联合资产管理有限公司</w:t>
      </w:r>
    </w:p>
    <w:p w14:paraId="36C3F703">
      <w:pPr>
        <w:keepNext w:val="0"/>
        <w:keepLines w:val="0"/>
        <w:pageBreakBefore w:val="0"/>
        <w:widowControl w:val="0"/>
        <w:kinsoku/>
        <w:wordWrap w:val="0"/>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t>公开比选常年法律顾问公告</w:t>
      </w:r>
    </w:p>
    <w:p w14:paraId="6B64F864">
      <w:pPr>
        <w:keepNext w:val="0"/>
        <w:keepLines w:val="0"/>
        <w:pageBreakBefore w:val="0"/>
        <w:widowControl/>
        <w:kinsoku/>
        <w:wordWrap/>
        <w:overflowPunct w:val="0"/>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4F447211">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为贯彻落实中共中央办公厅 国务院办公厅《关于推行法律顾问制度和公职律师公司律师制度的意见》（中办发〔2016〕30号）要求，根据《海南省国有资产监督管理委员会 关于进一步完善省属企业外聘法律顾问工作机制的指导意见》（琼国资法〔2019〕6号）文件精神，加强省属企业依法治企和法治国企建设，进一步完善外聘法律顾问工作机制，结合《海南联合资产管理有限公司外聘律师事务所管理办法》规定，海南联合资产管理有限公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以下简称公司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拟采取公开比选方式选聘1家常年法律顾问单位（律师事务所），为公司提供常年法律服务。</w:t>
      </w:r>
    </w:p>
    <w:p w14:paraId="138A4E4D">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诚挚邀请</w:t>
      </w:r>
      <w:r>
        <w:rPr>
          <w:rFonts w:hint="eastAsia" w:ascii="仿宋_GB2312" w:hAnsi="仿宋_GB2312" w:eastAsia="仿宋_GB2312" w:cs="仿宋_GB2312"/>
          <w:color w:val="auto"/>
          <w:sz w:val="32"/>
          <w:szCs w:val="32"/>
        </w:rPr>
        <w:t>符合资格条件的</w:t>
      </w:r>
      <w:r>
        <w:rPr>
          <w:rFonts w:hint="eastAsia" w:ascii="仿宋_GB2312" w:hAnsi="仿宋_GB2312" w:eastAsia="仿宋_GB2312" w:cs="仿宋_GB2312"/>
          <w:color w:val="auto"/>
          <w:sz w:val="32"/>
          <w:szCs w:val="32"/>
          <w:lang w:val="en-US" w:eastAsia="zh-CN"/>
        </w:rPr>
        <w:t>潜在参选人</w:t>
      </w:r>
      <w:r>
        <w:rPr>
          <w:rFonts w:hint="eastAsia" w:ascii="仿宋_GB2312" w:hAnsi="仿宋_GB2312" w:eastAsia="仿宋_GB2312" w:cs="仿宋_GB2312"/>
          <w:color w:val="auto"/>
          <w:sz w:val="32"/>
          <w:szCs w:val="32"/>
        </w:rPr>
        <w:t>参</w:t>
      </w:r>
      <w:r>
        <w:rPr>
          <w:rFonts w:hint="eastAsia" w:ascii="仿宋_GB2312" w:hAnsi="仿宋_GB2312" w:eastAsia="仿宋_GB2312" w:cs="仿宋_GB2312"/>
          <w:color w:val="auto"/>
          <w:sz w:val="32"/>
          <w:szCs w:val="32"/>
          <w:lang w:val="en-US" w:eastAsia="zh-CN"/>
        </w:rPr>
        <w:t>加比选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现</w:t>
      </w:r>
      <w:r>
        <w:rPr>
          <w:rFonts w:hint="eastAsia" w:ascii="仿宋_GB2312" w:hAnsi="仿宋_GB2312" w:eastAsia="仿宋_GB2312" w:cs="仿宋_GB2312"/>
          <w:color w:val="auto"/>
          <w:sz w:val="32"/>
          <w:szCs w:val="32"/>
        </w:rPr>
        <w:t>将有关事项公告如下</w:t>
      </w:r>
      <w:r>
        <w:rPr>
          <w:rFonts w:hint="eastAsia" w:ascii="仿宋_GB2312" w:hAnsi="仿宋_GB2312" w:eastAsia="仿宋_GB2312" w:cs="仿宋_GB2312"/>
          <w:color w:val="auto"/>
          <w:sz w:val="32"/>
          <w:szCs w:val="32"/>
          <w:lang w:eastAsia="zh-CN"/>
        </w:rPr>
        <w:t>：</w:t>
      </w:r>
    </w:p>
    <w:p w14:paraId="6DB3CF89">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一、项目</w:t>
      </w:r>
      <w:r>
        <w:rPr>
          <w:rFonts w:hint="eastAsia" w:ascii="黑体" w:hAnsi="黑体" w:eastAsia="黑体" w:cs="黑体"/>
          <w:color w:val="auto"/>
          <w:sz w:val="32"/>
          <w:szCs w:val="32"/>
          <w:lang w:val="en-US" w:eastAsia="zh-CN"/>
        </w:rPr>
        <w:t>概况</w:t>
      </w:r>
    </w:p>
    <w:p w14:paraId="55F538EE">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项目名称：海南联合资产管理有限公司公开比选常年法律顾问。</w:t>
      </w:r>
    </w:p>
    <w:p w14:paraId="015BD279">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服务期限：根据服务合同约定（每年一签，不超过两年）。</w:t>
      </w:r>
    </w:p>
    <w:p w14:paraId="610BF9FE">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服务费用：本项目采购控制价不超过10万元/年（含税费、差旅费等一切费用）。</w:t>
      </w:r>
    </w:p>
    <w:p w14:paraId="7B67D907">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付款方式：分期支付（第一期：服务合同签订后次日起，收到律师事务所开具的增值税发票5个工作日内支付50%；第二期：服务合同履行6个月后次日起，收到律师事务所开具的增值税发票5个工作日内支付50%）。</w:t>
      </w:r>
    </w:p>
    <w:p w14:paraId="4DF0E4FD">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选聘数量：1家律师事务所（本项目不接受联合体投标）。</w:t>
      </w:r>
    </w:p>
    <w:p w14:paraId="31263F25">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比选要求：本项目采用公开比选方式进行采购，分为资格审查、综合评审两部分。</w:t>
      </w:r>
    </w:p>
    <w:p w14:paraId="7B9EABAD">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lang w:val="en-US" w:eastAsia="zh-CN"/>
        </w:rPr>
        <w:t>常年法律服务内容</w:t>
      </w:r>
    </w:p>
    <w:p w14:paraId="2A178DD9">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val="en-US" w:eastAsia="zh-CN"/>
        </w:rPr>
        <w:t>为公司日常事务提供法律咨询，解答法律问题，并应公司要求出具相应的法律意见书及律师函等；</w:t>
      </w:r>
    </w:p>
    <w:p w14:paraId="5C29FADE">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2.起草、审查公司经营活动涉及的相关协议、合同、法律文书；</w:t>
      </w:r>
    </w:p>
    <w:p w14:paraId="6F07EAAD">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3.为公司重大经营决策事项提供法律意见，出具法律意见书；</w:t>
      </w:r>
    </w:p>
    <w:p w14:paraId="4F8CEEE9">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4.为公司报送省国资委审核、批准或备案，需要外聘法律顾问出具法律意见书的事项出具法律意见书；</w:t>
      </w:r>
    </w:p>
    <w:p w14:paraId="7589DF31">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5.为公司制定修改公司章程、内部规章制度等提供法律意见，出具法律意见书；</w:t>
      </w:r>
    </w:p>
    <w:p w14:paraId="739490AC">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6.协助公司健全经营管理规章制度；</w:t>
      </w:r>
    </w:p>
    <w:p w14:paraId="3F9677BE">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7.全面梳理、审核公司常用合同，建立健全合同模板库；</w:t>
      </w:r>
    </w:p>
    <w:p w14:paraId="021C393E">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8.参与磋商、业务谈判，法律纠纷的谈判、协商、调解及风险事件的处置等；</w:t>
      </w:r>
    </w:p>
    <w:p w14:paraId="5EA14482">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9.就公司重大事项或重大案件进行研讨分析，从法律角度提出参考意见等；</w:t>
      </w:r>
    </w:p>
    <w:p w14:paraId="4F9F9AC4">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10.根据需要列席公司股东会、董事会、总办会等会议；</w:t>
      </w:r>
    </w:p>
    <w:p w14:paraId="5CCCB0B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11.协助公司开展法治宣传教育、培训；</w:t>
      </w:r>
    </w:p>
    <w:p w14:paraId="4E92641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12.需要参与的其他涉法事务。</w:t>
      </w:r>
    </w:p>
    <w:p w14:paraId="0ADBAD34">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lang w:val="en-US" w:eastAsia="zh-CN"/>
        </w:rPr>
        <w:t>资格审查条件</w:t>
      </w:r>
    </w:p>
    <w:p w14:paraId="02B90F94">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须是在中华人民共和国境内注册、具有独立承担民事责任能力的律师事务所，须未被列入信用中国网站(www.creditchina.gov.cn)的“失信被执行人”“重大税收违法失信主体”“政府采购严重违法失信名单”和中国政府采购网(www.ccgp.gov.cn)的“政府采购严重违法失信行为记录名单”。[提供信用中国网站（www.creditchina.gov.cn）和中国政府采购网（www.ccgp.gov.cn）查询结果截图，并加盖公章]</w:t>
      </w:r>
    </w:p>
    <w:p w14:paraId="445A9A17">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参选人具有依法缴纳税收和社会保障资金的良好记录。[提供参选时最近3个月的单位缴纳税收、拟指派执业律师的社保记录凭证（单位职工参保花名册），并加盖公章]</w:t>
      </w:r>
    </w:p>
    <w:p w14:paraId="24F8BB2D">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参选人（包含拟指派执业律师）参选前三年内，在经营活动中没有重大违纪、违法记录。（提供声明函，格式自拟，并加盖公章）</w:t>
      </w:r>
    </w:p>
    <w:p w14:paraId="41DE06D2">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包含拟指派执业律师）参选前三年内未因自身的任何违约、违法及违反职业道德的行为而导致服务合同解除或败诉，没有被投诉，未受过司法行政部门的行政处罚或律师协会的行业处分记录。（提供声明函，格式自拟，并加盖公章）</w:t>
      </w:r>
    </w:p>
    <w:p w14:paraId="20D02CD3">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参选人具有良好的社会关系、资信实力、管理水平、商业信誉和健全的财务会计制度。（提供声明函，格式自拟，并加盖公章）</w:t>
      </w:r>
    </w:p>
    <w:p w14:paraId="68E899F7">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参选人不存在与公司存在利益冲突的情形（含诉讼、非诉讼、仲裁、投资并购等存在利益冲突的事项）。（提供声明函，格式自拟，并加盖公章）</w:t>
      </w:r>
    </w:p>
    <w:p w14:paraId="090445C7">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参选人承诺提供法律服务过程中具备相应数量的服务团队人员：主办律师至少一名，协办律师至少两名。</w:t>
      </w:r>
    </w:p>
    <w:p w14:paraId="2DF3CCA1">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主办律师执业年限十年以上，具有丰富的执业经验、在相关专业领域具有较强的专业能力素养，已</w:t>
      </w:r>
      <w:r>
        <w:rPr>
          <w:rFonts w:hint="eastAsia" w:ascii="仿宋_GB2312" w:hAnsi="仿宋_GB2312" w:eastAsia="仿宋_GB2312" w:cs="仿宋_GB2312"/>
          <w:color w:val="auto"/>
          <w:sz w:val="32"/>
          <w:szCs w:val="32"/>
          <w:lang w:val="en-US" w:eastAsia="zh-CN"/>
        </w:rPr>
        <w:t>投保</w:t>
      </w:r>
      <w:r>
        <w:rPr>
          <w:rFonts w:hint="default" w:ascii="仿宋_GB2312" w:hAnsi="仿宋_GB2312" w:eastAsia="仿宋_GB2312" w:cs="仿宋_GB2312"/>
          <w:color w:val="auto"/>
          <w:sz w:val="32"/>
          <w:szCs w:val="32"/>
          <w:lang w:val="en-US" w:eastAsia="zh-CN"/>
        </w:rPr>
        <w:t>执业责任保险</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协办律师执业年限五年以上，具有丰富的执业经验、在相关专业领域具有较强的专业能力素养，已</w:t>
      </w:r>
      <w:r>
        <w:rPr>
          <w:rFonts w:hint="eastAsia" w:ascii="仿宋_GB2312" w:hAnsi="仿宋_GB2312" w:eastAsia="仿宋_GB2312" w:cs="仿宋_GB2312"/>
          <w:color w:val="auto"/>
          <w:sz w:val="32"/>
          <w:szCs w:val="32"/>
          <w:lang w:val="en-US" w:eastAsia="zh-CN"/>
        </w:rPr>
        <w:t>投保</w:t>
      </w:r>
      <w:r>
        <w:rPr>
          <w:rFonts w:hint="default" w:ascii="仿宋_GB2312" w:hAnsi="仿宋_GB2312" w:eastAsia="仿宋_GB2312" w:cs="仿宋_GB2312"/>
          <w:color w:val="auto"/>
          <w:sz w:val="32"/>
          <w:szCs w:val="32"/>
          <w:lang w:val="en-US" w:eastAsia="zh-CN"/>
        </w:rPr>
        <w:t>执业责任保险。</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bidi="ar-SA"/>
        </w:rPr>
        <w:t>提供</w:t>
      </w:r>
      <w:r>
        <w:rPr>
          <w:rFonts w:hint="eastAsia" w:ascii="仿宋_GB2312" w:hAnsi="仿宋_GB2312" w:eastAsia="仿宋_GB2312" w:cs="仿宋_GB2312"/>
          <w:color w:val="auto"/>
          <w:sz w:val="32"/>
          <w:szCs w:val="32"/>
          <w:lang w:val="en-US" w:eastAsia="zh-CN" w:bidi="ar-SA"/>
        </w:rPr>
        <w:t>服务团队人员名单、执业证书、投保</w:t>
      </w:r>
      <w:r>
        <w:rPr>
          <w:rFonts w:hint="eastAsia" w:ascii="仿宋_GB2312" w:hAnsi="仿宋_GB2312" w:eastAsia="仿宋_GB2312" w:cs="仿宋_GB2312"/>
          <w:color w:val="auto"/>
          <w:sz w:val="32"/>
          <w:szCs w:val="32"/>
          <w:lang w:eastAsia="zh-CN" w:bidi="ar-SA"/>
        </w:rPr>
        <w:t>执业责任保险</w:t>
      </w:r>
      <w:r>
        <w:rPr>
          <w:rFonts w:hint="eastAsia" w:ascii="仿宋_GB2312" w:hAnsi="仿宋_GB2312" w:eastAsia="仿宋_GB2312" w:cs="仿宋_GB2312"/>
          <w:color w:val="auto"/>
          <w:sz w:val="32"/>
          <w:szCs w:val="32"/>
          <w:lang w:val="en-US" w:eastAsia="zh-CN" w:bidi="ar-SA"/>
        </w:rPr>
        <w:t>记录</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val="en-US" w:eastAsia="zh-CN" w:bidi="ar-SA"/>
        </w:rPr>
        <w:t>全国律师执业诚信信息公示平台（https://credit.acla.org.cn/）查询结果截图</w:t>
      </w:r>
      <w:r>
        <w:rPr>
          <w:rFonts w:hint="eastAsia" w:ascii="仿宋_GB2312" w:hAnsi="仿宋_GB2312" w:eastAsia="仿宋_GB2312" w:cs="仿宋_GB2312"/>
          <w:color w:val="auto"/>
          <w:sz w:val="32"/>
          <w:szCs w:val="32"/>
          <w:lang w:eastAsia="zh-CN" w:bidi="ar-SA"/>
        </w:rPr>
        <w:t>，并加盖公章</w:t>
      </w:r>
      <w:r>
        <w:rPr>
          <w:rFonts w:hint="eastAsia" w:ascii="仿宋_GB2312" w:hAnsi="仿宋_GB2312" w:eastAsia="仿宋_GB2312" w:cs="仿宋_GB2312"/>
          <w:color w:val="auto"/>
          <w:sz w:val="32"/>
          <w:szCs w:val="32"/>
          <w:lang w:val="en-US" w:eastAsia="zh-CN"/>
        </w:rPr>
        <w:t>]</w:t>
      </w:r>
    </w:p>
    <w:p w14:paraId="043F71BF">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比选评审要求</w:t>
      </w:r>
    </w:p>
    <w:p w14:paraId="3DF81B62">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（一）资格审查</w:t>
      </w:r>
    </w:p>
    <w:p w14:paraId="28D97144">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本项目评审小组根据比选文件要求，对参选人的资格条件进行审查，只有通过资格审查才能进入综合评审。</w:t>
      </w:r>
    </w:p>
    <w:p w14:paraId="470E46F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（二）综合评审</w:t>
      </w:r>
    </w:p>
    <w:p w14:paraId="7C41D49A">
      <w:pPr>
        <w:pStyle w:val="20"/>
        <w:keepNext w:val="0"/>
        <w:keepLines w:val="0"/>
        <w:pageBreakBefore w:val="0"/>
        <w:widowControl/>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1.本项目评审采用综合评分法，评审小组根据比选文件量化因素、分值要求，对参选文件的内容进行综合评价打分并计算出综合得分。</w:t>
      </w:r>
    </w:p>
    <w:p w14:paraId="2F5B8870">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项目评审小组根据综合得分，由高到低的顺序推荐前三名候选人，原则上推荐排名第一的候选人为中选人；综合评分相同的，以“服务报价”最低者排名优先；服务报价也相同的，由评审小组现场抽签确定排名。</w:t>
      </w:r>
    </w:p>
    <w:p w14:paraId="7BDADEF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若排名第一的候选人放弃中选、因不可抗力或重大利益冲突不能履行服务合同，或者被查实存在影响中选结果的违规行为等情形，不符合中选条件的，公司可以按照评审小组推荐的中标候选人名单排序依次确定其他候选人为中选人，也可以重新开展采购。</w:t>
      </w:r>
    </w:p>
    <w:p w14:paraId="2251E070">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（三）参选文件要求</w:t>
      </w:r>
    </w:p>
    <w:p w14:paraId="4105E70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1.参选人应当严格按照</w:t>
      </w:r>
      <w:r>
        <w:rPr>
          <w:rFonts w:hint="eastAsia" w:ascii="仿宋_GB2312" w:hAnsi="仿宋_GB2312" w:eastAsia="仿宋_GB2312" w:cs="仿宋_GB2312"/>
          <w:color w:val="auto"/>
          <w:sz w:val="32"/>
          <w:szCs w:val="32"/>
          <w:lang w:eastAsia="zh-CN"/>
        </w:rPr>
        <w:t>本项目</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文件要求</w:t>
      </w:r>
      <w:r>
        <w:rPr>
          <w:rFonts w:hint="eastAsia" w:ascii="仿宋_GB2312" w:hAnsi="仿宋_GB2312" w:eastAsia="仿宋_GB2312" w:cs="仿宋_GB2312"/>
          <w:color w:val="auto"/>
          <w:sz w:val="32"/>
          <w:szCs w:val="32"/>
          <w:lang w:val="en-US" w:eastAsia="zh-CN"/>
        </w:rPr>
        <w:t>同时</w:t>
      </w:r>
      <w:r>
        <w:rPr>
          <w:rFonts w:hint="eastAsia" w:ascii="仿宋_GB2312" w:hAnsi="仿宋_GB2312" w:eastAsia="仿宋_GB2312" w:cs="仿宋_GB2312"/>
          <w:color w:val="auto"/>
          <w:sz w:val="32"/>
          <w:szCs w:val="32"/>
          <w:lang w:eastAsia="zh-CN"/>
        </w:rPr>
        <w:t>提交电子版和纸质版</w:t>
      </w:r>
      <w:r>
        <w:rPr>
          <w:rFonts w:hint="eastAsia" w:ascii="仿宋_GB2312" w:hAnsi="仿宋_GB2312" w:eastAsia="仿宋_GB2312" w:cs="仿宋_GB2312"/>
          <w:color w:val="auto"/>
          <w:sz w:val="32"/>
          <w:szCs w:val="32"/>
          <w:lang w:val="en-US" w:eastAsia="zh-CN"/>
        </w:rPr>
        <w:t>的参选文件</w:t>
      </w:r>
      <w:r>
        <w:rPr>
          <w:rFonts w:hint="eastAsia" w:ascii="仿宋_GB2312" w:hAnsi="仿宋_GB2312" w:eastAsia="仿宋_GB2312" w:cs="仿宋_GB2312"/>
          <w:color w:val="auto"/>
          <w:sz w:val="32"/>
          <w:szCs w:val="32"/>
          <w:lang w:eastAsia="zh-CN"/>
        </w:rPr>
        <w:t>（具体详见附件</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纸质</w:t>
      </w:r>
      <w:r>
        <w:rPr>
          <w:rFonts w:hint="eastAsia" w:ascii="仿宋_GB2312" w:hAnsi="仿宋_GB2312" w:eastAsia="仿宋_GB2312" w:cs="仿宋_GB2312"/>
          <w:color w:val="auto"/>
          <w:sz w:val="32"/>
          <w:szCs w:val="32"/>
          <w:lang w:eastAsia="zh-CN"/>
        </w:rPr>
        <w:t>版材料扫描</w:t>
      </w:r>
      <w:r>
        <w:rPr>
          <w:rFonts w:hint="eastAsia" w:ascii="仿宋_GB2312" w:hAnsi="仿宋_GB2312" w:eastAsia="仿宋_GB2312" w:cs="仿宋_GB2312"/>
          <w:color w:val="auto"/>
          <w:sz w:val="32"/>
          <w:szCs w:val="32"/>
          <w:lang w:val="en-US" w:eastAsia="zh-CN"/>
        </w:rPr>
        <w:t>成电子版</w:t>
      </w:r>
      <w:r>
        <w:rPr>
          <w:rFonts w:hint="eastAsia" w:ascii="仿宋_GB2312" w:hAnsi="仿宋_GB2312" w:eastAsia="仿宋_GB2312" w:cs="仿宋_GB2312"/>
          <w:color w:val="auto"/>
          <w:sz w:val="32"/>
          <w:szCs w:val="32"/>
          <w:lang w:eastAsia="zh-CN"/>
        </w:rPr>
        <w:t>存储U盘</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连同纸质</w:t>
      </w:r>
      <w:r>
        <w:rPr>
          <w:rFonts w:hint="eastAsia" w:ascii="仿宋_GB2312" w:hAnsi="仿宋_GB2312" w:eastAsia="仿宋_GB2312" w:cs="仿宋_GB2312"/>
          <w:color w:val="auto"/>
          <w:sz w:val="32"/>
          <w:szCs w:val="32"/>
          <w:lang w:val="en-US" w:eastAsia="zh-CN"/>
        </w:rPr>
        <w:t>版</w:t>
      </w:r>
      <w:r>
        <w:rPr>
          <w:rFonts w:hint="eastAsia" w:ascii="仿宋_GB2312" w:hAnsi="仿宋_GB2312" w:eastAsia="仿宋_GB2312" w:cs="仿宋_GB2312"/>
          <w:color w:val="auto"/>
          <w:sz w:val="32"/>
          <w:szCs w:val="32"/>
          <w:lang w:eastAsia="zh-CN"/>
        </w:rPr>
        <w:t>材料，</w:t>
      </w:r>
      <w:r>
        <w:rPr>
          <w:rFonts w:hint="eastAsia" w:ascii="仿宋_GB2312" w:hAnsi="仿宋_GB2312" w:eastAsia="仿宋_GB2312" w:cs="仿宋_GB2312"/>
          <w:color w:val="auto"/>
          <w:sz w:val="32"/>
          <w:szCs w:val="32"/>
          <w:lang w:val="en-US" w:eastAsia="zh-CN"/>
        </w:rPr>
        <w:t>装入</w:t>
      </w:r>
      <w:r>
        <w:rPr>
          <w:rFonts w:hint="eastAsia" w:ascii="仿宋_GB2312" w:hAnsi="仿宋_GB2312" w:eastAsia="仿宋_GB2312" w:cs="仿宋_GB2312"/>
          <w:color w:val="auto"/>
          <w:sz w:val="32"/>
          <w:szCs w:val="32"/>
          <w:lang w:eastAsia="zh-CN"/>
        </w:rPr>
        <w:t>密封</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lang w:eastAsia="zh-CN"/>
        </w:rPr>
        <w:t>信封</w:t>
      </w:r>
      <w:r>
        <w:rPr>
          <w:rFonts w:hint="eastAsia" w:ascii="仿宋_GB2312" w:hAnsi="仿宋_GB2312" w:eastAsia="仿宋_GB2312" w:cs="仿宋_GB2312"/>
          <w:color w:val="auto"/>
          <w:sz w:val="32"/>
          <w:szCs w:val="32"/>
        </w:rPr>
        <w:t>或包装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参选文件封面应当</w:t>
      </w:r>
      <w:r>
        <w:rPr>
          <w:rFonts w:hint="eastAsia" w:ascii="仿宋_GB2312" w:hAnsi="仿宋_GB2312" w:eastAsia="仿宋_GB2312" w:cs="仿宋_GB2312"/>
          <w:color w:val="auto"/>
          <w:sz w:val="32"/>
          <w:szCs w:val="32"/>
          <w:lang w:eastAsia="zh-CN"/>
        </w:rPr>
        <w:t>标明项目名称、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名称、联系地址</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lang w:val="en-US" w:eastAsia="zh-CN"/>
        </w:rPr>
        <w:t>参选日期</w:t>
      </w:r>
      <w:r>
        <w:rPr>
          <w:rFonts w:hint="eastAsia" w:ascii="仿宋_GB2312" w:hAnsi="仿宋_GB2312" w:eastAsia="仿宋_GB2312" w:cs="仿宋_GB2312"/>
          <w:color w:val="auto"/>
          <w:sz w:val="32"/>
          <w:szCs w:val="32"/>
          <w:lang w:eastAsia="zh-CN"/>
        </w:rPr>
        <w:t>，封口处加盖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公章递交</w:t>
      </w:r>
      <w:r>
        <w:rPr>
          <w:rFonts w:hint="eastAsia" w:ascii="仿宋_GB2312" w:hAnsi="仿宋_GB2312" w:eastAsia="仿宋_GB2312" w:cs="仿宋_GB2312"/>
          <w:color w:val="auto"/>
          <w:sz w:val="32"/>
          <w:szCs w:val="32"/>
          <w:lang w:val="en-US" w:eastAsia="zh-CN"/>
        </w:rPr>
        <w:t>至指定地点</w:t>
      </w:r>
      <w:r>
        <w:rPr>
          <w:rFonts w:hint="eastAsia" w:ascii="仿宋_GB2312" w:hAnsi="仿宋_GB2312" w:eastAsia="仿宋_GB2312" w:cs="仿宋_GB2312"/>
          <w:color w:val="auto"/>
          <w:sz w:val="32"/>
          <w:szCs w:val="32"/>
          <w:lang w:eastAsia="zh-CN"/>
        </w:rPr>
        <w:t>。</w:t>
      </w:r>
    </w:p>
    <w:p w14:paraId="375F5144">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2.参选文件</w:t>
      </w:r>
      <w:r>
        <w:rPr>
          <w:rFonts w:hint="eastAsia" w:ascii="仿宋_GB2312" w:hAnsi="仿宋_GB2312" w:eastAsia="仿宋_GB2312" w:cs="仿宋_GB2312"/>
          <w:color w:val="auto"/>
          <w:sz w:val="32"/>
          <w:szCs w:val="32"/>
          <w:lang w:eastAsia="zh-CN"/>
        </w:rPr>
        <w:t>纸质版材料正本</w:t>
      </w:r>
      <w:r>
        <w:rPr>
          <w:rFonts w:hint="eastAsia" w:ascii="仿宋_GB2312" w:hAnsi="仿宋_GB2312" w:eastAsia="仿宋_GB2312" w:cs="仿宋_GB2312"/>
          <w:color w:val="auto"/>
          <w:sz w:val="32"/>
          <w:szCs w:val="32"/>
          <w:lang w:val="en-US" w:eastAsia="zh-CN"/>
        </w:rPr>
        <w:t>壹</w:t>
      </w:r>
      <w:r>
        <w:rPr>
          <w:rFonts w:hint="eastAsia" w:ascii="仿宋_GB2312" w:hAnsi="仿宋_GB2312" w:eastAsia="仿宋_GB2312" w:cs="仿宋_GB2312"/>
          <w:color w:val="auto"/>
          <w:sz w:val="32"/>
          <w:szCs w:val="32"/>
          <w:lang w:eastAsia="zh-CN"/>
        </w:rPr>
        <w:t>份，副本</w:t>
      </w:r>
      <w:r>
        <w:rPr>
          <w:rFonts w:hint="eastAsia" w:ascii="仿宋_GB2312" w:hAnsi="仿宋_GB2312" w:eastAsia="仿宋_GB2312" w:cs="仿宋_GB2312"/>
          <w:color w:val="auto"/>
          <w:sz w:val="32"/>
          <w:szCs w:val="32"/>
          <w:lang w:val="en-US" w:eastAsia="zh-CN"/>
        </w:rPr>
        <w:t>贰</w:t>
      </w:r>
      <w:r>
        <w:rPr>
          <w:rFonts w:hint="eastAsia" w:ascii="仿宋_GB2312" w:hAnsi="仿宋_GB2312" w:eastAsia="仿宋_GB2312" w:cs="仿宋_GB2312"/>
          <w:color w:val="auto"/>
          <w:sz w:val="32"/>
          <w:szCs w:val="32"/>
          <w:lang w:eastAsia="zh-CN"/>
        </w:rPr>
        <w:t>份，并在其封面上清楚地标明“正本”或“副本”字样；</w:t>
      </w:r>
      <w:r>
        <w:rPr>
          <w:rFonts w:hint="eastAsia" w:ascii="仿宋_GB2312" w:hAnsi="仿宋_GB2312" w:eastAsia="仿宋_GB2312" w:cs="仿宋_GB2312"/>
          <w:color w:val="auto"/>
          <w:sz w:val="32"/>
          <w:szCs w:val="32"/>
          <w:lang w:val="en-US" w:eastAsia="zh-CN"/>
        </w:rPr>
        <w:t>正本与副本不一致的，以正本为准；</w:t>
      </w:r>
      <w:r>
        <w:rPr>
          <w:rFonts w:hint="eastAsia" w:ascii="仿宋_GB2312" w:hAnsi="仿宋_GB2312" w:eastAsia="仿宋_GB2312" w:cs="仿宋_GB2312"/>
          <w:color w:val="auto"/>
          <w:sz w:val="32"/>
          <w:szCs w:val="32"/>
          <w:lang w:eastAsia="zh-CN"/>
        </w:rPr>
        <w:t>正本和副本均需在规定签章处签</w:t>
      </w:r>
      <w:r>
        <w:rPr>
          <w:rFonts w:hint="eastAsia" w:ascii="仿宋_GB2312" w:hAnsi="仿宋_GB2312" w:eastAsia="仿宋_GB2312" w:cs="仿宋_GB2312"/>
          <w:color w:val="auto"/>
          <w:sz w:val="32"/>
          <w:szCs w:val="32"/>
          <w:lang w:val="en-US" w:eastAsia="zh-CN"/>
        </w:rPr>
        <w:t>名</w:t>
      </w:r>
      <w:r>
        <w:rPr>
          <w:rFonts w:hint="eastAsia" w:ascii="仿宋_GB2312" w:hAnsi="仿宋_GB2312" w:eastAsia="仿宋_GB2312" w:cs="仿宋_GB2312"/>
          <w:color w:val="auto"/>
          <w:sz w:val="32"/>
          <w:szCs w:val="32"/>
          <w:lang w:eastAsia="zh-CN"/>
        </w:rPr>
        <w:t>盖章</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lang w:eastAsia="zh-CN"/>
        </w:rPr>
        <w:t>加盖骑缝章。</w:t>
      </w:r>
    </w:p>
    <w:p w14:paraId="53E74E0F">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其他说明</w:t>
      </w:r>
    </w:p>
    <w:p w14:paraId="43B13C3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（一）比选文件获取方式</w:t>
      </w:r>
    </w:p>
    <w:p w14:paraId="7D966CF4">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请有意参加本项目的</w:t>
      </w:r>
      <w:r>
        <w:rPr>
          <w:rFonts w:hint="eastAsia" w:ascii="仿宋_GB2312" w:hAnsi="仿宋_GB2312" w:eastAsia="仿宋_GB2312" w:cs="仿宋_GB2312"/>
          <w:color w:val="auto"/>
          <w:sz w:val="32"/>
          <w:szCs w:val="32"/>
          <w:lang w:val="en-US" w:eastAsia="zh-CN"/>
        </w:rPr>
        <w:t>潜在参选人</w:t>
      </w:r>
      <w:r>
        <w:rPr>
          <w:rFonts w:hint="eastAsia" w:ascii="仿宋_GB2312" w:hAnsi="仿宋_GB2312" w:eastAsia="仿宋_GB2312" w:cs="仿宋_GB2312"/>
          <w:color w:val="auto"/>
          <w:sz w:val="32"/>
          <w:szCs w:val="32"/>
          <w:lang w:eastAsia="zh-CN"/>
        </w:rPr>
        <w:t>，前往海南联合资产管理有限公司网站（http://www.hnlhzc.com/）自行下载</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w:t>
      </w:r>
    </w:p>
    <w:p w14:paraId="620A254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（二）参选文件递交截止时间</w:t>
      </w:r>
    </w:p>
    <w:p w14:paraId="2B8D0CD6">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文件须于</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时前递交至</w:t>
      </w:r>
      <w:r>
        <w:rPr>
          <w:rFonts w:hint="eastAsia" w:ascii="仿宋_GB2312" w:hAnsi="仿宋_GB2312" w:eastAsia="仿宋_GB2312" w:cs="仿宋_GB2312"/>
          <w:color w:val="auto"/>
          <w:sz w:val="32"/>
          <w:szCs w:val="32"/>
          <w:lang w:val="en-US" w:eastAsia="zh-CN"/>
        </w:rPr>
        <w:t>指定地点；</w:t>
      </w:r>
      <w:r>
        <w:rPr>
          <w:rFonts w:hint="eastAsia" w:ascii="仿宋_GB2312" w:hAnsi="仿宋_GB2312" w:eastAsia="仿宋_GB2312" w:cs="仿宋_GB2312"/>
          <w:color w:val="auto"/>
          <w:sz w:val="32"/>
          <w:szCs w:val="32"/>
          <w:lang w:eastAsia="zh-CN"/>
        </w:rPr>
        <w:t>逾期送达的或不符合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文件规定要求的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文件，</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lang w:eastAsia="zh-CN"/>
        </w:rPr>
        <w:t>不予</w:t>
      </w:r>
      <w:r>
        <w:rPr>
          <w:rFonts w:hint="eastAsia" w:ascii="仿宋_GB2312" w:hAnsi="仿宋_GB2312" w:eastAsia="仿宋_GB2312" w:cs="仿宋_GB2312"/>
          <w:color w:val="auto"/>
          <w:sz w:val="32"/>
          <w:szCs w:val="32"/>
          <w:lang w:val="en-US" w:eastAsia="zh-CN"/>
        </w:rPr>
        <w:t>受理</w:t>
      </w:r>
      <w:r>
        <w:rPr>
          <w:rFonts w:hint="eastAsia" w:ascii="仿宋_GB2312" w:hAnsi="仿宋_GB2312" w:eastAsia="仿宋_GB2312" w:cs="仿宋_GB2312"/>
          <w:color w:val="auto"/>
          <w:sz w:val="32"/>
          <w:szCs w:val="32"/>
          <w:lang w:eastAsia="zh-CN"/>
        </w:rPr>
        <w:t>。</w:t>
      </w:r>
    </w:p>
    <w:p w14:paraId="749D6F50">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（三）参选文件递交地址</w:t>
      </w:r>
    </w:p>
    <w:p w14:paraId="2ADA93B9">
      <w:pPr>
        <w:pStyle w:val="20"/>
        <w:keepNext w:val="0"/>
        <w:keepLines w:val="0"/>
        <w:pageBreakBefore w:val="0"/>
        <w:widowControl/>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w:t>
      </w:r>
      <w:r>
        <w:rPr>
          <w:rFonts w:hint="eastAsia" w:ascii="仿宋_GB2312" w:hAnsi="仿宋_GB2312" w:eastAsia="仿宋_GB2312" w:cs="仿宋_GB2312"/>
          <w:color w:val="auto"/>
          <w:sz w:val="32"/>
          <w:szCs w:val="32"/>
          <w:lang w:eastAsia="zh-CN"/>
        </w:rPr>
        <w:t>海南联合资产管理有限公司</w:t>
      </w:r>
      <w:r>
        <w:rPr>
          <w:rFonts w:hint="eastAsia" w:ascii="仿宋_GB2312" w:hAnsi="仿宋_GB2312" w:eastAsia="仿宋_GB2312" w:cs="仿宋_GB2312"/>
          <w:color w:val="auto"/>
          <w:sz w:val="32"/>
          <w:szCs w:val="32"/>
          <w:lang w:val="en-US" w:eastAsia="zh-CN"/>
        </w:rPr>
        <w:t>。</w:t>
      </w:r>
    </w:p>
    <w:p w14:paraId="45FBEF5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（四）现场评审时间、地点</w:t>
      </w:r>
    </w:p>
    <w:p w14:paraId="521451E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本项目拟定于2025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时，</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eastAsia="zh-CN"/>
        </w:rPr>
        <w:t>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w:t>
      </w:r>
      <w:r>
        <w:rPr>
          <w:rFonts w:hint="eastAsia" w:ascii="仿宋_GB2312" w:hAnsi="仿宋_GB2312" w:eastAsia="仿宋_GB2312" w:cs="仿宋_GB2312"/>
          <w:color w:val="auto"/>
          <w:sz w:val="32"/>
          <w:szCs w:val="32"/>
          <w:lang w:eastAsia="zh-CN"/>
        </w:rPr>
        <w:t>海南联合资产管理有限公司会议室</w:t>
      </w:r>
      <w:r>
        <w:rPr>
          <w:rFonts w:hint="eastAsia" w:ascii="仿宋_GB2312" w:hAnsi="仿宋_GB2312" w:eastAsia="仿宋_GB2312" w:cs="仿宋_GB2312"/>
          <w:color w:val="auto"/>
          <w:sz w:val="32"/>
          <w:szCs w:val="32"/>
          <w:lang w:val="en-US" w:eastAsia="zh-CN"/>
        </w:rPr>
        <w:t>现场评审；现场评审结束后在</w:t>
      </w:r>
      <w:r>
        <w:rPr>
          <w:rFonts w:hint="eastAsia" w:ascii="仿宋_GB2312" w:hAnsi="仿宋_GB2312" w:eastAsia="仿宋_GB2312" w:cs="仿宋_GB2312"/>
          <w:color w:val="auto"/>
          <w:sz w:val="32"/>
          <w:szCs w:val="32"/>
          <w:lang w:eastAsia="zh-CN"/>
        </w:rPr>
        <w:t>海南联合资产管理有限公司网站（http://www.hnlhzc.com/）</w:t>
      </w:r>
      <w:r>
        <w:rPr>
          <w:rFonts w:hint="eastAsia" w:ascii="仿宋_GB2312" w:hAnsi="仿宋_GB2312" w:eastAsia="仿宋_GB2312" w:cs="仿宋_GB2312"/>
          <w:color w:val="auto"/>
          <w:sz w:val="32"/>
          <w:szCs w:val="32"/>
          <w:lang w:val="en-US" w:eastAsia="zh-CN"/>
        </w:rPr>
        <w:t>公告中选人名单</w:t>
      </w:r>
      <w:r>
        <w:rPr>
          <w:rFonts w:hint="eastAsia" w:ascii="仿宋_GB2312" w:hAnsi="仿宋_GB2312" w:eastAsia="仿宋_GB2312" w:cs="仿宋_GB2312"/>
          <w:color w:val="auto"/>
          <w:sz w:val="32"/>
          <w:szCs w:val="32"/>
          <w:lang w:eastAsia="zh-CN"/>
        </w:rPr>
        <w:t>。</w:t>
      </w:r>
    </w:p>
    <w:p w14:paraId="266C112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（五）项目咨询联系方式</w:t>
      </w:r>
    </w:p>
    <w:p w14:paraId="7053FEF8">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有关事项需要咨询</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可以与下列人员联系：</w:t>
      </w:r>
    </w:p>
    <w:p w14:paraId="66C6F9F2">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 系 人：</w:t>
      </w:r>
      <w:r>
        <w:rPr>
          <w:rFonts w:hint="eastAsia" w:ascii="仿宋_GB2312" w:hAnsi="仿宋_GB2312" w:eastAsia="仿宋_GB2312" w:cs="仿宋_GB2312"/>
          <w:color w:val="auto"/>
          <w:sz w:val="32"/>
          <w:szCs w:val="32"/>
          <w:lang w:val="en-US" w:eastAsia="zh-CN"/>
        </w:rPr>
        <w:t>凌绵翰</w:t>
      </w:r>
      <w:r>
        <w:rPr>
          <w:rFonts w:hint="eastAsia" w:ascii="仿宋_GB2312" w:hAnsi="仿宋_GB2312" w:eastAsia="仿宋_GB2312" w:cs="仿宋_GB2312"/>
          <w:color w:val="auto"/>
          <w:sz w:val="32"/>
          <w:szCs w:val="32"/>
          <w:lang w:eastAsia="zh-CN"/>
        </w:rPr>
        <w:t>，联系电话：</w:t>
      </w:r>
      <w:r>
        <w:rPr>
          <w:rFonts w:hint="eastAsia" w:ascii="仿宋_GB2312" w:hAnsi="仿宋_GB2312" w:eastAsia="仿宋_GB2312" w:cs="仿宋_GB2312"/>
          <w:color w:val="auto"/>
          <w:sz w:val="32"/>
          <w:szCs w:val="32"/>
          <w:lang w:val="en-US" w:eastAsia="zh-CN"/>
        </w:rPr>
        <w:t>13158904490</w:t>
      </w:r>
    </w:p>
    <w:p w14:paraId="27839D2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 系 人：</w:t>
      </w:r>
      <w:r>
        <w:rPr>
          <w:rFonts w:hint="eastAsia" w:ascii="仿宋_GB2312" w:hAnsi="仿宋_GB2312" w:eastAsia="仿宋_GB2312" w:cs="仿宋_GB2312"/>
          <w:color w:val="auto"/>
          <w:sz w:val="32"/>
          <w:szCs w:val="32"/>
          <w:lang w:val="en-US" w:eastAsia="zh-CN"/>
        </w:rPr>
        <w:t>周执弘</w:t>
      </w:r>
      <w:r>
        <w:rPr>
          <w:rFonts w:hint="eastAsia" w:ascii="仿宋_GB2312" w:hAnsi="仿宋_GB2312" w:eastAsia="仿宋_GB2312" w:cs="仿宋_GB2312"/>
          <w:color w:val="auto"/>
          <w:sz w:val="32"/>
          <w:szCs w:val="32"/>
          <w:lang w:eastAsia="zh-CN"/>
        </w:rPr>
        <w:t>，联系电话：</w:t>
      </w:r>
      <w:r>
        <w:rPr>
          <w:rFonts w:hint="eastAsia" w:ascii="仿宋_GB2312" w:hAnsi="仿宋_GB2312" w:eastAsia="仿宋_GB2312" w:cs="仿宋_GB2312"/>
          <w:color w:val="auto"/>
          <w:sz w:val="32"/>
          <w:szCs w:val="32"/>
          <w:lang w:val="en-US" w:eastAsia="zh-CN"/>
        </w:rPr>
        <w:t>18808977510</w:t>
      </w:r>
    </w:p>
    <w:p w14:paraId="0B4F0D59">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联系地址：海南省海口市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楼2302办公室法律事务部</w:t>
      </w:r>
    </w:p>
    <w:p w14:paraId="27F76CD1">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邮政编码：570105</w:t>
      </w:r>
    </w:p>
    <w:p w14:paraId="79FC79B6">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A9FB6D2">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：海南联合资产管理有限公司公开比选常年法律顾问项目</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w:t>
      </w:r>
    </w:p>
    <w:p w14:paraId="2100B0D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5E2771B">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2AB46427">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B6E555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海南联合资产管理有限公司</w:t>
      </w:r>
    </w:p>
    <w:p w14:paraId="2A9FB25A">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4480" w:firstLineChars="1400"/>
        <w:jc w:val="both"/>
        <w:textAlignment w:val="auto"/>
        <w:rPr>
          <w:rFonts w:hint="eastAsia"/>
          <w:lang w:eastAsia="zh-CN"/>
        </w:rPr>
      </w:pP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日</w:t>
      </w:r>
    </w:p>
    <w:p w14:paraId="7C561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bookmarkEnd w:id="8"/>
    <w:p w14:paraId="551F1E5D">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11" w:name="_Toc31223"/>
      <w:bookmarkStart w:id="12" w:name="_Toc81784906"/>
      <w:r>
        <w:rPr>
          <w:rFonts w:hint="eastAsia" w:ascii="黑体" w:hAnsi="黑体" w:eastAsia="黑体" w:cs="黑体"/>
          <w:b w:val="0"/>
          <w:bCs w:val="0"/>
          <w:color w:val="auto"/>
          <w:lang w:val="en-US" w:eastAsia="zh-CN"/>
        </w:rPr>
        <w:t>第二章</w:t>
      </w:r>
      <w:bookmarkEnd w:id="9"/>
      <w:r>
        <w:rPr>
          <w:rFonts w:hint="eastAsia" w:ascii="黑体" w:hAnsi="黑体" w:eastAsia="黑体" w:cs="黑体"/>
          <w:b w:val="0"/>
          <w:bCs w:val="0"/>
          <w:color w:val="auto"/>
          <w:lang w:val="en-US" w:eastAsia="zh-CN"/>
        </w:rPr>
        <w:t xml:space="preserve"> 参选须知</w:t>
      </w:r>
      <w:bookmarkEnd w:id="11"/>
      <w:bookmarkEnd w:id="12"/>
    </w:p>
    <w:p w14:paraId="6A2A6A34">
      <w:pPr>
        <w:pageBreakBefore w:val="0"/>
        <w:kinsoku/>
        <w:wordWrap w:val="0"/>
        <w:overflowPunct w:val="0"/>
        <w:topLinePunct w:val="0"/>
        <w:autoSpaceDE/>
        <w:autoSpaceDN/>
        <w:bidi w:val="0"/>
        <w:adjustRightIn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32"/>
          <w:szCs w:val="32"/>
        </w:rPr>
      </w:pPr>
      <w:bookmarkStart w:id="13" w:name="_Toc22742"/>
      <w:bookmarkStart w:id="14" w:name="_Toc81784910"/>
    </w:p>
    <w:p w14:paraId="02018F0A">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一、</w:t>
      </w:r>
      <w:r>
        <w:rPr>
          <w:rFonts w:hint="eastAsia" w:ascii="黑体" w:hAnsi="黑体" w:eastAsia="黑体" w:cs="黑体"/>
          <w:b w:val="0"/>
          <w:bCs w:val="0"/>
          <w:color w:val="auto"/>
          <w:sz w:val="32"/>
          <w:szCs w:val="32"/>
          <w:lang w:val="en-US" w:eastAsia="zh-CN"/>
        </w:rPr>
        <w:t>参选</w:t>
      </w:r>
      <w:r>
        <w:rPr>
          <w:rFonts w:hint="eastAsia" w:ascii="黑体" w:hAnsi="黑体" w:eastAsia="黑体" w:cs="黑体"/>
          <w:b w:val="0"/>
          <w:bCs w:val="0"/>
          <w:color w:val="auto"/>
          <w:sz w:val="32"/>
          <w:szCs w:val="32"/>
        </w:rPr>
        <w:t>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14:paraId="17A9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430085D2">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718" w:type="dxa"/>
            <w:vAlign w:val="center"/>
          </w:tcPr>
          <w:p w14:paraId="437DA47C">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内容</w:t>
            </w:r>
          </w:p>
        </w:tc>
        <w:tc>
          <w:tcPr>
            <w:tcW w:w="6701" w:type="dxa"/>
            <w:gridSpan w:val="2"/>
            <w:vAlign w:val="center"/>
          </w:tcPr>
          <w:p w14:paraId="53021C7B">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说明要求</w:t>
            </w:r>
          </w:p>
        </w:tc>
      </w:tr>
      <w:tr w14:paraId="3FE2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14:paraId="1ED43042">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p>
        </w:tc>
        <w:tc>
          <w:tcPr>
            <w:tcW w:w="1718" w:type="dxa"/>
            <w:vMerge w:val="restart"/>
            <w:vAlign w:val="center"/>
          </w:tcPr>
          <w:p w14:paraId="389D35E1">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项目</w:t>
            </w:r>
            <w:r>
              <w:rPr>
                <w:rFonts w:hint="eastAsia" w:ascii="仿宋_GB2312" w:hAnsi="仿宋_GB2312" w:eastAsia="仿宋_GB2312" w:cs="仿宋_GB2312"/>
                <w:b w:val="0"/>
                <w:bCs w:val="0"/>
                <w:color w:val="auto"/>
                <w:sz w:val="32"/>
                <w:szCs w:val="32"/>
                <w:lang w:val="en-US" w:eastAsia="zh-CN"/>
              </w:rPr>
              <w:t>概况</w:t>
            </w:r>
          </w:p>
        </w:tc>
        <w:tc>
          <w:tcPr>
            <w:tcW w:w="1702" w:type="dxa"/>
            <w:tcBorders>
              <w:right w:val="single" w:color="000000" w:sz="6" w:space="0"/>
            </w:tcBorders>
            <w:vAlign w:val="center"/>
          </w:tcPr>
          <w:p w14:paraId="20B52D5C">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项目名称</w:t>
            </w:r>
          </w:p>
        </w:tc>
        <w:tc>
          <w:tcPr>
            <w:tcW w:w="4999" w:type="dxa"/>
            <w:tcBorders>
              <w:left w:val="single" w:color="000000" w:sz="6" w:space="0"/>
            </w:tcBorders>
            <w:vAlign w:val="center"/>
          </w:tcPr>
          <w:p w14:paraId="596F2862">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海南联合资产管理有限公司公开比选常年法律顾问</w:t>
            </w:r>
          </w:p>
        </w:tc>
      </w:tr>
      <w:tr w14:paraId="3120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14:paraId="5C26F84D">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p>
        </w:tc>
        <w:tc>
          <w:tcPr>
            <w:tcW w:w="1718" w:type="dxa"/>
            <w:vMerge w:val="continue"/>
            <w:vAlign w:val="center"/>
          </w:tcPr>
          <w:p w14:paraId="54E0781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34B6261F">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项目概述</w:t>
            </w:r>
          </w:p>
        </w:tc>
        <w:tc>
          <w:tcPr>
            <w:tcW w:w="4999" w:type="dxa"/>
            <w:tcBorders>
              <w:left w:val="single" w:color="000000" w:sz="6" w:space="0"/>
            </w:tcBorders>
            <w:vAlign w:val="center"/>
          </w:tcPr>
          <w:p w14:paraId="15E50491">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通过本次</w:t>
            </w:r>
            <w:r>
              <w:rPr>
                <w:rFonts w:hint="eastAsia" w:ascii="仿宋_GB2312" w:hAnsi="仿宋_GB2312" w:eastAsia="仿宋_GB2312" w:cs="仿宋_GB2312"/>
                <w:b w:val="0"/>
                <w:bCs w:val="0"/>
                <w:color w:val="auto"/>
                <w:sz w:val="32"/>
                <w:szCs w:val="32"/>
                <w:lang w:val="en-US" w:eastAsia="zh-CN"/>
              </w:rPr>
              <w:t>公开比选</w:t>
            </w:r>
            <w:r>
              <w:rPr>
                <w:rFonts w:hint="eastAsia" w:ascii="仿宋_GB2312" w:hAnsi="仿宋_GB2312" w:eastAsia="仿宋_GB2312" w:cs="仿宋_GB2312"/>
                <w:b w:val="0"/>
                <w:bCs w:val="0"/>
                <w:color w:val="auto"/>
                <w:sz w:val="32"/>
                <w:szCs w:val="32"/>
              </w:rPr>
              <w:t>选聘1家律师事务所，作为</w:t>
            </w:r>
            <w:r>
              <w:rPr>
                <w:rFonts w:hint="eastAsia" w:ascii="仿宋_GB2312" w:hAnsi="仿宋_GB2312" w:eastAsia="仿宋_GB2312" w:cs="仿宋_GB2312"/>
                <w:b w:val="0"/>
                <w:bCs w:val="0"/>
                <w:color w:val="auto"/>
                <w:sz w:val="32"/>
                <w:szCs w:val="32"/>
                <w:lang w:val="en-US" w:eastAsia="zh-CN"/>
              </w:rPr>
              <w:t>公司</w:t>
            </w:r>
            <w:r>
              <w:rPr>
                <w:rFonts w:hint="eastAsia" w:ascii="仿宋_GB2312" w:hAnsi="仿宋_GB2312" w:eastAsia="仿宋_GB2312" w:cs="仿宋_GB2312"/>
                <w:b w:val="0"/>
                <w:bCs w:val="0"/>
                <w:color w:val="auto"/>
                <w:sz w:val="32"/>
                <w:szCs w:val="32"/>
              </w:rPr>
              <w:t>常年法律顾问单位，为</w:t>
            </w:r>
            <w:r>
              <w:rPr>
                <w:rFonts w:hint="eastAsia" w:ascii="仿宋_GB2312" w:hAnsi="仿宋_GB2312" w:eastAsia="仿宋_GB2312" w:cs="仿宋_GB2312"/>
                <w:b w:val="0"/>
                <w:bCs w:val="0"/>
                <w:color w:val="auto"/>
                <w:sz w:val="32"/>
                <w:szCs w:val="32"/>
                <w:lang w:val="en-US" w:eastAsia="zh-CN"/>
              </w:rPr>
              <w:t>公司</w:t>
            </w:r>
            <w:r>
              <w:rPr>
                <w:rFonts w:hint="eastAsia" w:ascii="仿宋_GB2312" w:hAnsi="仿宋_GB2312" w:eastAsia="仿宋_GB2312" w:cs="仿宋_GB2312"/>
                <w:b w:val="0"/>
                <w:bCs w:val="0"/>
                <w:color w:val="auto"/>
                <w:sz w:val="32"/>
                <w:szCs w:val="32"/>
              </w:rPr>
              <w:t>提供</w:t>
            </w:r>
            <w:r>
              <w:rPr>
                <w:rFonts w:hint="eastAsia" w:ascii="仿宋_GB2312" w:hAnsi="仿宋_GB2312" w:eastAsia="仿宋_GB2312" w:cs="仿宋_GB2312"/>
                <w:b w:val="0"/>
                <w:bCs w:val="0"/>
                <w:color w:val="auto"/>
                <w:sz w:val="32"/>
                <w:szCs w:val="32"/>
                <w:lang w:val="en-US" w:eastAsia="zh-CN"/>
              </w:rPr>
              <w:t>常年</w:t>
            </w:r>
            <w:r>
              <w:rPr>
                <w:rFonts w:hint="eastAsia" w:ascii="仿宋_GB2312" w:hAnsi="仿宋_GB2312" w:eastAsia="仿宋_GB2312" w:cs="仿宋_GB2312"/>
                <w:b w:val="0"/>
                <w:bCs w:val="0"/>
                <w:color w:val="auto"/>
                <w:sz w:val="32"/>
                <w:szCs w:val="32"/>
              </w:rPr>
              <w:t>法律服务</w:t>
            </w:r>
          </w:p>
        </w:tc>
      </w:tr>
      <w:tr w14:paraId="0B12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14:paraId="7AA07512">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6F4F86E1">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4145919E">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服务期限</w:t>
            </w:r>
          </w:p>
        </w:tc>
        <w:tc>
          <w:tcPr>
            <w:tcW w:w="4999" w:type="dxa"/>
            <w:tcBorders>
              <w:left w:val="single" w:color="000000" w:sz="6" w:space="0"/>
            </w:tcBorders>
            <w:vAlign w:val="center"/>
          </w:tcPr>
          <w:p w14:paraId="084AB9E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i w:val="0"/>
                <w:iCs w:val="0"/>
                <w:caps w:val="0"/>
                <w:color w:val="auto"/>
                <w:spacing w:val="8"/>
                <w:sz w:val="32"/>
                <w:szCs w:val="32"/>
                <w:highlight w:val="none"/>
                <w:shd w:val="clear" w:fill="FFFFFF"/>
                <w:lang w:val="en-US" w:eastAsia="zh-CN"/>
              </w:rPr>
              <w:t>根据服务合同约定（每年一签，不超过两年）</w:t>
            </w:r>
          </w:p>
        </w:tc>
      </w:tr>
      <w:tr w14:paraId="3C33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0DFF585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3B1E8975">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65301CC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服务价格</w:t>
            </w:r>
          </w:p>
        </w:tc>
        <w:tc>
          <w:tcPr>
            <w:tcW w:w="4999" w:type="dxa"/>
            <w:tcBorders>
              <w:left w:val="single" w:color="000000" w:sz="6" w:space="0"/>
            </w:tcBorders>
            <w:vAlign w:val="center"/>
          </w:tcPr>
          <w:p w14:paraId="6F2CD57A">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本项目采购控制价不超过10万元/年（含税费、差旅费等一切费用）</w:t>
            </w:r>
          </w:p>
        </w:tc>
      </w:tr>
      <w:tr w14:paraId="2F49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8" w:hRule="atLeast"/>
          <w:jc w:val="center"/>
        </w:trPr>
        <w:tc>
          <w:tcPr>
            <w:tcW w:w="693" w:type="dxa"/>
            <w:vMerge w:val="continue"/>
            <w:vAlign w:val="center"/>
          </w:tcPr>
          <w:p w14:paraId="7F5C3A7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7D71D68C">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180853CE">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选聘数量</w:t>
            </w:r>
          </w:p>
        </w:tc>
        <w:tc>
          <w:tcPr>
            <w:tcW w:w="4999" w:type="dxa"/>
            <w:tcBorders>
              <w:left w:val="single" w:color="000000" w:sz="6" w:space="0"/>
            </w:tcBorders>
            <w:vAlign w:val="center"/>
          </w:tcPr>
          <w:p w14:paraId="398FA31A">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1家律师事务所（本项目不接受联合体投标）</w:t>
            </w:r>
          </w:p>
        </w:tc>
      </w:tr>
      <w:tr w14:paraId="7E6F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14:paraId="02823E60">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p>
        </w:tc>
        <w:tc>
          <w:tcPr>
            <w:tcW w:w="1718" w:type="dxa"/>
            <w:vAlign w:val="center"/>
          </w:tcPr>
          <w:p w14:paraId="59A71345">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项目</w:t>
            </w:r>
            <w:r>
              <w:rPr>
                <w:rFonts w:hint="eastAsia" w:ascii="仿宋_GB2312" w:hAnsi="仿宋_GB2312" w:eastAsia="仿宋_GB2312" w:cs="仿宋_GB2312"/>
                <w:b w:val="0"/>
                <w:bCs w:val="0"/>
                <w:color w:val="auto"/>
                <w:sz w:val="32"/>
                <w:szCs w:val="32"/>
              </w:rPr>
              <w:t>内容</w:t>
            </w:r>
          </w:p>
        </w:tc>
        <w:tc>
          <w:tcPr>
            <w:tcW w:w="6701" w:type="dxa"/>
            <w:gridSpan w:val="2"/>
            <w:vAlign w:val="center"/>
          </w:tcPr>
          <w:p w14:paraId="1D2C84F5">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详见采购公告</w:t>
            </w:r>
          </w:p>
        </w:tc>
      </w:tr>
      <w:tr w14:paraId="049A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14:paraId="0BE3FB57">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p>
        </w:tc>
        <w:tc>
          <w:tcPr>
            <w:tcW w:w="1718" w:type="dxa"/>
            <w:vAlign w:val="center"/>
          </w:tcPr>
          <w:p w14:paraId="3E8B5C7B">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项目要求</w:t>
            </w:r>
          </w:p>
        </w:tc>
        <w:tc>
          <w:tcPr>
            <w:tcW w:w="6701" w:type="dxa"/>
            <w:gridSpan w:val="2"/>
            <w:vAlign w:val="center"/>
          </w:tcPr>
          <w:p w14:paraId="2D025D5F">
            <w:pPr>
              <w:pStyle w:val="51"/>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bidi="ar-SA"/>
              </w:rPr>
            </w:pPr>
            <w:r>
              <w:rPr>
                <w:rFonts w:hint="eastAsia" w:ascii="仿宋_GB2312" w:hAnsi="仿宋_GB2312" w:eastAsia="仿宋_GB2312" w:cs="仿宋_GB2312"/>
                <w:b w:val="0"/>
                <w:bCs w:val="0"/>
                <w:color w:val="auto"/>
                <w:sz w:val="32"/>
                <w:szCs w:val="32"/>
                <w:lang w:eastAsia="zh-CN" w:bidi="ar-SA"/>
              </w:rPr>
              <w:t>详见采购公告</w:t>
            </w:r>
          </w:p>
        </w:tc>
      </w:tr>
      <w:tr w14:paraId="4459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693" w:type="dxa"/>
            <w:vMerge w:val="restart"/>
            <w:vAlign w:val="center"/>
          </w:tcPr>
          <w:p w14:paraId="07D60F7B">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bookmarkStart w:id="15" w:name="_Toc81784908"/>
            <w:r>
              <w:rPr>
                <w:rFonts w:hint="eastAsia" w:ascii="仿宋_GB2312" w:hAnsi="仿宋_GB2312" w:eastAsia="仿宋_GB2312" w:cs="仿宋_GB2312"/>
                <w:b w:val="0"/>
                <w:bCs w:val="0"/>
                <w:color w:val="auto"/>
                <w:sz w:val="32"/>
                <w:szCs w:val="32"/>
                <w:lang w:val="en-US" w:eastAsia="zh-CN"/>
              </w:rPr>
              <w:t>4</w:t>
            </w:r>
          </w:p>
        </w:tc>
        <w:tc>
          <w:tcPr>
            <w:tcW w:w="1718" w:type="dxa"/>
            <w:vMerge w:val="restart"/>
            <w:vAlign w:val="center"/>
          </w:tcPr>
          <w:p w14:paraId="70419F2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比选评审要求</w:t>
            </w:r>
          </w:p>
        </w:tc>
        <w:tc>
          <w:tcPr>
            <w:tcW w:w="1702" w:type="dxa"/>
            <w:tcBorders>
              <w:right w:val="single" w:color="000000" w:sz="6" w:space="0"/>
            </w:tcBorders>
            <w:vAlign w:val="center"/>
          </w:tcPr>
          <w:p w14:paraId="26255369">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资格审查</w:t>
            </w:r>
          </w:p>
        </w:tc>
        <w:tc>
          <w:tcPr>
            <w:tcW w:w="4999" w:type="dxa"/>
            <w:tcBorders>
              <w:left w:val="single" w:color="000000" w:sz="6" w:space="0"/>
            </w:tcBorders>
            <w:vAlign w:val="center"/>
          </w:tcPr>
          <w:p w14:paraId="0B230E43">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评审小组根据比选文件要求，对参选人的资格条件进行审查，只有通过资格审查才能进入综合评审。</w:t>
            </w:r>
          </w:p>
        </w:tc>
      </w:tr>
      <w:tr w14:paraId="2AFE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3" w:type="dxa"/>
            <w:vMerge w:val="continue"/>
            <w:vAlign w:val="center"/>
          </w:tcPr>
          <w:p w14:paraId="0BBA3195">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p>
        </w:tc>
        <w:tc>
          <w:tcPr>
            <w:tcW w:w="1718" w:type="dxa"/>
            <w:vMerge w:val="continue"/>
            <w:vAlign w:val="center"/>
          </w:tcPr>
          <w:p w14:paraId="346298A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p>
        </w:tc>
        <w:tc>
          <w:tcPr>
            <w:tcW w:w="1702" w:type="dxa"/>
            <w:tcBorders>
              <w:right w:val="single" w:color="000000" w:sz="6" w:space="0"/>
            </w:tcBorders>
            <w:vAlign w:val="center"/>
          </w:tcPr>
          <w:p w14:paraId="7DFA5CC6">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综合</w:t>
            </w:r>
            <w:r>
              <w:rPr>
                <w:rFonts w:hint="eastAsia" w:ascii="仿宋_GB2312" w:hAnsi="仿宋_GB2312" w:eastAsia="仿宋_GB2312" w:cs="仿宋_GB2312"/>
                <w:b w:val="0"/>
                <w:bCs w:val="0"/>
                <w:color w:val="auto"/>
                <w:sz w:val="32"/>
                <w:szCs w:val="32"/>
                <w:lang w:eastAsia="zh-CN"/>
              </w:rPr>
              <w:t>评审</w:t>
            </w:r>
          </w:p>
        </w:tc>
        <w:tc>
          <w:tcPr>
            <w:tcW w:w="4999" w:type="dxa"/>
            <w:tcBorders>
              <w:left w:val="single" w:color="000000" w:sz="6" w:space="0"/>
            </w:tcBorders>
            <w:vAlign w:val="center"/>
          </w:tcPr>
          <w:p w14:paraId="26F4D8C2">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采用综合评分法，评审小组根据比选文件量化因素、分值要求，对参选文件的内容进行综合评价打分并计算出综合得分。</w:t>
            </w:r>
          </w:p>
        </w:tc>
      </w:tr>
    </w:tbl>
    <w:p w14:paraId="301EBB35">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343CBAC6">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lang w:val="en-US" w:eastAsia="zh-CN"/>
        </w:rPr>
        <w:t>二、比选文件</w:t>
      </w:r>
      <w:bookmarkEnd w:id="15"/>
    </w:p>
    <w:p w14:paraId="157B41A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 比选</w:t>
      </w:r>
      <w:r>
        <w:rPr>
          <w:rFonts w:hint="eastAsia" w:ascii="仿宋_GB2312" w:hAnsi="仿宋_GB2312" w:eastAsia="仿宋_GB2312" w:cs="仿宋_GB2312"/>
          <w:b/>
          <w:bCs/>
          <w:color w:val="auto"/>
          <w:sz w:val="32"/>
          <w:szCs w:val="32"/>
        </w:rPr>
        <w:t>文件的组成</w:t>
      </w:r>
    </w:p>
    <w:p w14:paraId="7DBD07ED">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 xml:space="preserve"> 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主要</w:t>
      </w:r>
      <w:r>
        <w:rPr>
          <w:rFonts w:hint="eastAsia" w:ascii="仿宋_GB2312" w:hAnsi="仿宋_GB2312" w:eastAsia="仿宋_GB2312" w:cs="仿宋_GB2312"/>
          <w:color w:val="auto"/>
          <w:sz w:val="32"/>
          <w:szCs w:val="32"/>
        </w:rPr>
        <w:t>包括下列内容：</w:t>
      </w:r>
    </w:p>
    <w:p w14:paraId="60F5AE3F">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公告</w:t>
      </w:r>
    </w:p>
    <w:p w14:paraId="44DAA55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须知</w:t>
      </w:r>
    </w:p>
    <w:p w14:paraId="1A788E4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评审办法</w:t>
      </w:r>
    </w:p>
    <w:p w14:paraId="24756C32">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合同文本</w:t>
      </w:r>
    </w:p>
    <w:p w14:paraId="7B67F14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文件格式</w:t>
      </w:r>
    </w:p>
    <w:p w14:paraId="59FB842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文件的规定和要求，按</w:t>
      </w:r>
      <w:r>
        <w:rPr>
          <w:rFonts w:hint="eastAsia" w:ascii="仿宋_GB2312" w:hAnsi="仿宋_GB2312" w:eastAsia="仿宋_GB2312" w:cs="仿宋_GB2312"/>
          <w:color w:val="auto"/>
          <w:sz w:val="32"/>
          <w:szCs w:val="32"/>
          <w:lang w:val="en-US" w:eastAsia="zh-CN"/>
        </w:rPr>
        <w:t>照比选</w:t>
      </w:r>
      <w:r>
        <w:rPr>
          <w:rFonts w:hint="eastAsia" w:ascii="仿宋_GB2312" w:hAnsi="仿宋_GB2312" w:eastAsia="仿宋_GB2312" w:cs="仿宋_GB2312"/>
          <w:color w:val="auto"/>
          <w:sz w:val="32"/>
          <w:szCs w:val="32"/>
        </w:rPr>
        <w:t>文件的规定和要求编写</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文件的规定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有可能导致废选，参选</w:t>
      </w:r>
      <w:r>
        <w:rPr>
          <w:rFonts w:hint="eastAsia" w:ascii="仿宋_GB2312" w:hAnsi="仿宋_GB2312" w:eastAsia="仿宋_GB2312" w:cs="仿宋_GB2312"/>
          <w:color w:val="auto"/>
          <w:sz w:val="32"/>
          <w:szCs w:val="32"/>
        </w:rPr>
        <w:t>人自行</w:t>
      </w:r>
      <w:r>
        <w:rPr>
          <w:rFonts w:hint="eastAsia" w:ascii="仿宋_GB2312" w:hAnsi="仿宋_GB2312" w:eastAsia="仿宋_GB2312" w:cs="仿宋_GB2312"/>
          <w:color w:val="auto"/>
          <w:sz w:val="32"/>
          <w:szCs w:val="32"/>
          <w:lang w:val="en-US" w:eastAsia="zh-CN"/>
        </w:rPr>
        <w:t>承担不利后果</w:t>
      </w:r>
      <w:r>
        <w:rPr>
          <w:rFonts w:hint="eastAsia" w:ascii="仿宋_GB2312" w:hAnsi="仿宋_GB2312" w:eastAsia="仿宋_GB2312" w:cs="仿宋_GB2312"/>
          <w:color w:val="auto"/>
          <w:sz w:val="32"/>
          <w:szCs w:val="32"/>
        </w:rPr>
        <w:t>。</w:t>
      </w:r>
    </w:p>
    <w:p w14:paraId="1EA42D4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准确、</w:t>
      </w:r>
      <w:r>
        <w:rPr>
          <w:rFonts w:hint="eastAsia" w:ascii="仿宋_GB2312" w:hAnsi="仿宋_GB2312" w:eastAsia="仿宋_GB2312" w:cs="仿宋_GB2312"/>
          <w:color w:val="auto"/>
          <w:sz w:val="32"/>
          <w:szCs w:val="32"/>
        </w:rPr>
        <w:t>完整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若发现</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不清晰、</w:t>
      </w:r>
      <w:r>
        <w:rPr>
          <w:rFonts w:hint="eastAsia" w:ascii="仿宋_GB2312" w:hAnsi="仿宋_GB2312" w:eastAsia="仿宋_GB2312" w:cs="仿宋_GB2312"/>
          <w:color w:val="auto"/>
          <w:sz w:val="32"/>
          <w:szCs w:val="32"/>
        </w:rPr>
        <w:t>缺页或不全时，应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及时向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提出，以便</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补</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w:t>
      </w:r>
    </w:p>
    <w:p w14:paraId="7315AD7F">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 比选</w:t>
      </w:r>
      <w:r>
        <w:rPr>
          <w:rFonts w:hint="eastAsia" w:ascii="仿宋_GB2312" w:hAnsi="仿宋_GB2312" w:eastAsia="仿宋_GB2312" w:cs="仿宋_GB2312"/>
          <w:b/>
          <w:bCs/>
          <w:color w:val="auto"/>
          <w:sz w:val="32"/>
          <w:szCs w:val="32"/>
        </w:rPr>
        <w:t>文件的澄清与解答</w:t>
      </w:r>
    </w:p>
    <w:p w14:paraId="0088F96A">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请求对比选文件进行必要的澄清或修改的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可以在获取比选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后3日</w:t>
      </w:r>
      <w:r>
        <w:rPr>
          <w:rFonts w:hint="eastAsia" w:ascii="仿宋_GB2312" w:hAnsi="仿宋_GB2312" w:eastAsia="仿宋_GB2312" w:cs="仿宋_GB2312"/>
          <w:color w:val="auto"/>
          <w:sz w:val="32"/>
          <w:szCs w:val="32"/>
        </w:rPr>
        <w:t>内</w:t>
      </w:r>
      <w:r>
        <w:rPr>
          <w:rFonts w:hint="eastAsia" w:ascii="仿宋_GB2312" w:hAnsi="仿宋_GB2312" w:eastAsia="仿宋_GB2312" w:cs="仿宋_GB2312"/>
          <w:color w:val="auto"/>
          <w:sz w:val="32"/>
          <w:szCs w:val="32"/>
          <w:lang w:val="en-US" w:eastAsia="zh-CN"/>
        </w:rPr>
        <w:t>或参选截止时间至少1日前</w:t>
      </w:r>
      <w:r>
        <w:rPr>
          <w:rFonts w:hint="eastAsia" w:ascii="仿宋_GB2312" w:hAnsi="仿宋_GB2312" w:eastAsia="仿宋_GB2312" w:cs="仿宋_GB2312"/>
          <w:color w:val="auto"/>
          <w:sz w:val="32"/>
          <w:szCs w:val="32"/>
        </w:rPr>
        <w:t>，以书面形式向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公司经审查认为可能影响参选文件编制的，将在收到书面意见后3日</w:t>
      </w:r>
      <w:r>
        <w:rPr>
          <w:rFonts w:hint="eastAsia" w:ascii="仿宋_GB2312" w:hAnsi="仿宋_GB2312" w:eastAsia="仿宋_GB2312" w:cs="仿宋_GB2312"/>
          <w:color w:val="auto"/>
          <w:sz w:val="32"/>
          <w:szCs w:val="32"/>
        </w:rPr>
        <w:t>内</w:t>
      </w:r>
      <w:r>
        <w:rPr>
          <w:rFonts w:hint="eastAsia" w:ascii="仿宋_GB2312" w:hAnsi="仿宋_GB2312" w:eastAsia="仿宋_GB2312" w:cs="仿宋_GB2312"/>
          <w:color w:val="auto"/>
          <w:sz w:val="32"/>
          <w:szCs w:val="32"/>
          <w:lang w:val="en-US" w:eastAsia="zh-CN"/>
        </w:rPr>
        <w:t>或参选截止时间至少1日前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以编号补</w:t>
      </w:r>
      <w:r>
        <w:rPr>
          <w:rFonts w:hint="eastAsia" w:ascii="仿宋_GB2312" w:hAnsi="仿宋_GB2312" w:eastAsia="仿宋_GB2312" w:cs="仿宋_GB2312"/>
          <w:color w:val="auto"/>
          <w:sz w:val="32"/>
          <w:szCs w:val="32"/>
          <w:lang w:val="en-US" w:eastAsia="zh-CN"/>
        </w:rPr>
        <w:t>正通知书的</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在海南联合资产管理有限公司网站（http://www.hnlhzc.com/）公告补正</w:t>
      </w:r>
      <w:r>
        <w:rPr>
          <w:rFonts w:hint="eastAsia" w:ascii="仿宋_GB2312" w:hAnsi="仿宋_GB2312" w:eastAsia="仿宋_GB2312" w:cs="仿宋_GB2312"/>
          <w:color w:val="auto"/>
          <w:sz w:val="32"/>
          <w:szCs w:val="32"/>
        </w:rPr>
        <w:t>。</w:t>
      </w:r>
    </w:p>
    <w:p w14:paraId="766D772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w:t>
      </w:r>
      <w:r>
        <w:rPr>
          <w:rFonts w:hint="eastAsia" w:ascii="仿宋_GB2312" w:hAnsi="仿宋_GB2312" w:eastAsia="仿宋_GB2312" w:cs="仿宋_GB2312"/>
          <w:color w:val="auto"/>
          <w:sz w:val="32"/>
          <w:szCs w:val="32"/>
          <w:lang w:val="en-US" w:eastAsia="zh-CN"/>
        </w:rPr>
        <w:t xml:space="preserve"> 公司</w:t>
      </w:r>
      <w:r>
        <w:rPr>
          <w:rFonts w:hint="eastAsia" w:ascii="仿宋_GB2312" w:hAnsi="仿宋_GB2312" w:eastAsia="仿宋_GB2312" w:cs="仿宋_GB2312"/>
          <w:color w:val="auto"/>
          <w:sz w:val="32"/>
          <w:szCs w:val="32"/>
        </w:rPr>
        <w:t>以书面形式发出对</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文件的澄清或修改内容，均为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文件的组成部分，对</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约束作用。</w:t>
      </w:r>
    </w:p>
    <w:p w14:paraId="5E158FC2">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二、参选文件</w:t>
      </w:r>
    </w:p>
    <w:p w14:paraId="655311E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 参选</w:t>
      </w:r>
      <w:r>
        <w:rPr>
          <w:rFonts w:hint="eastAsia" w:ascii="仿宋_GB2312" w:hAnsi="仿宋_GB2312" w:eastAsia="仿宋_GB2312" w:cs="仿宋_GB2312"/>
          <w:b/>
          <w:bCs/>
          <w:color w:val="auto"/>
          <w:sz w:val="32"/>
          <w:szCs w:val="32"/>
        </w:rPr>
        <w:t>文件的</w:t>
      </w:r>
      <w:r>
        <w:rPr>
          <w:rFonts w:hint="eastAsia" w:ascii="仿宋_GB2312" w:hAnsi="仿宋_GB2312" w:eastAsia="仿宋_GB2312" w:cs="仿宋_GB2312"/>
          <w:b/>
          <w:bCs/>
          <w:color w:val="auto"/>
          <w:sz w:val="32"/>
          <w:szCs w:val="32"/>
          <w:lang w:val="en-US" w:eastAsia="zh-CN"/>
        </w:rPr>
        <w:t>文字、</w:t>
      </w:r>
      <w:r>
        <w:rPr>
          <w:rFonts w:hint="eastAsia" w:ascii="仿宋_GB2312" w:hAnsi="仿宋_GB2312" w:eastAsia="仿宋_GB2312" w:cs="仿宋_GB2312"/>
          <w:b/>
          <w:bCs/>
          <w:color w:val="auto"/>
          <w:sz w:val="32"/>
          <w:szCs w:val="32"/>
        </w:rPr>
        <w:t>度量衡单位</w:t>
      </w:r>
    </w:p>
    <w:p w14:paraId="75016FB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w:t>
      </w:r>
      <w:r>
        <w:rPr>
          <w:rFonts w:hint="eastAsia" w:ascii="仿宋_GB2312" w:hAnsi="仿宋_GB2312" w:eastAsia="仿宋_GB2312" w:cs="仿宋_GB2312"/>
          <w:b w:val="0"/>
          <w:bCs w:val="0"/>
          <w:color w:val="auto"/>
          <w:sz w:val="32"/>
          <w:szCs w:val="32"/>
          <w:lang w:val="en-US" w:eastAsia="zh-CN"/>
        </w:rPr>
        <w:t xml:space="preserve"> 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应当</w:t>
      </w:r>
      <w:r>
        <w:rPr>
          <w:rFonts w:hint="eastAsia" w:ascii="仿宋_GB2312" w:hAnsi="仿宋_GB2312" w:eastAsia="仿宋_GB2312" w:cs="仿宋_GB2312"/>
          <w:b w:val="0"/>
          <w:bCs w:val="0"/>
          <w:color w:val="auto"/>
          <w:sz w:val="32"/>
          <w:szCs w:val="32"/>
        </w:rPr>
        <w:t>使用</w:t>
      </w:r>
      <w:r>
        <w:rPr>
          <w:rFonts w:hint="eastAsia" w:ascii="仿宋_GB2312" w:hAnsi="仿宋_GB2312" w:eastAsia="仿宋_GB2312" w:cs="仿宋_GB2312"/>
          <w:b w:val="0"/>
          <w:bCs w:val="0"/>
          <w:color w:val="auto"/>
          <w:sz w:val="32"/>
          <w:szCs w:val="32"/>
          <w:lang w:val="en-US" w:eastAsia="zh-CN"/>
        </w:rPr>
        <w:t>中文；</w:t>
      </w:r>
      <w:r>
        <w:rPr>
          <w:rFonts w:hint="eastAsia" w:ascii="仿宋_GB2312" w:hAnsi="仿宋_GB2312" w:eastAsia="仿宋_GB2312" w:cs="仿宋_GB2312"/>
          <w:b w:val="0"/>
          <w:bCs w:val="0"/>
          <w:color w:val="auto"/>
          <w:sz w:val="32"/>
          <w:szCs w:val="32"/>
        </w:rPr>
        <w:t>对不同文字文本</w:t>
      </w:r>
      <w:r>
        <w:rPr>
          <w:rFonts w:hint="eastAsia" w:ascii="仿宋_GB2312" w:hAnsi="仿宋_GB2312" w:eastAsia="仿宋_GB2312" w:cs="仿宋_GB2312"/>
          <w:b w:val="0"/>
          <w:bCs w:val="0"/>
          <w:color w:val="auto"/>
          <w:sz w:val="32"/>
          <w:szCs w:val="32"/>
          <w:lang w:val="en-US" w:eastAsia="zh-CN"/>
        </w:rPr>
        <w:t>的参选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进行</w:t>
      </w:r>
      <w:r>
        <w:rPr>
          <w:rFonts w:hint="eastAsia" w:ascii="仿宋_GB2312" w:hAnsi="仿宋_GB2312" w:eastAsia="仿宋_GB2312" w:cs="仿宋_GB2312"/>
          <w:b w:val="0"/>
          <w:bCs w:val="0"/>
          <w:color w:val="auto"/>
          <w:sz w:val="32"/>
          <w:szCs w:val="32"/>
        </w:rPr>
        <w:t>解释</w:t>
      </w:r>
      <w:r>
        <w:rPr>
          <w:rFonts w:hint="eastAsia" w:ascii="仿宋_GB2312" w:hAnsi="仿宋_GB2312" w:eastAsia="仿宋_GB2312" w:cs="仿宋_GB2312"/>
          <w:b w:val="0"/>
          <w:bCs w:val="0"/>
          <w:color w:val="auto"/>
          <w:sz w:val="32"/>
          <w:szCs w:val="32"/>
          <w:lang w:val="en-US" w:eastAsia="zh-CN"/>
        </w:rPr>
        <w:t>产</w:t>
      </w:r>
      <w:r>
        <w:rPr>
          <w:rFonts w:hint="eastAsia" w:ascii="仿宋_GB2312" w:hAnsi="仿宋_GB2312" w:eastAsia="仿宋_GB2312" w:cs="仿宋_GB2312"/>
          <w:b w:val="0"/>
          <w:bCs w:val="0"/>
          <w:color w:val="auto"/>
          <w:sz w:val="32"/>
          <w:szCs w:val="32"/>
        </w:rPr>
        <w:t>生异议的，以中文文本为准。</w:t>
      </w:r>
    </w:p>
    <w:p w14:paraId="3E468319">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1.2 参选</w:t>
      </w:r>
      <w:r>
        <w:rPr>
          <w:rFonts w:hint="eastAsia" w:ascii="仿宋_GB2312" w:hAnsi="仿宋_GB2312" w:eastAsia="仿宋_GB2312" w:cs="仿宋_GB2312"/>
          <w:b w:val="0"/>
          <w:bCs w:val="0"/>
          <w:color w:val="auto"/>
          <w:sz w:val="32"/>
          <w:szCs w:val="32"/>
        </w:rPr>
        <w:t>文件中</w:t>
      </w:r>
      <w:r>
        <w:rPr>
          <w:rFonts w:hint="eastAsia" w:ascii="仿宋_GB2312" w:hAnsi="仿宋_GB2312" w:eastAsia="仿宋_GB2312" w:cs="仿宋_GB2312"/>
          <w:b w:val="0"/>
          <w:bCs w:val="0"/>
          <w:color w:val="auto"/>
          <w:sz w:val="32"/>
          <w:szCs w:val="32"/>
          <w:lang w:val="en-US" w:eastAsia="zh-CN"/>
        </w:rPr>
        <w:t>货币</w:t>
      </w:r>
      <w:r>
        <w:rPr>
          <w:rFonts w:hint="eastAsia" w:ascii="仿宋_GB2312" w:hAnsi="仿宋_GB2312" w:eastAsia="仿宋_GB2312" w:cs="仿宋_GB2312"/>
          <w:b w:val="0"/>
          <w:bCs w:val="0"/>
          <w:color w:val="auto"/>
          <w:sz w:val="32"/>
          <w:szCs w:val="32"/>
        </w:rPr>
        <w:t>大写金额和小写金额不一致的，以大写金额为准。</w:t>
      </w:r>
    </w:p>
    <w:p w14:paraId="4072FDC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3 </w:t>
      </w:r>
      <w:r>
        <w:rPr>
          <w:rFonts w:hint="eastAsia" w:ascii="仿宋_GB2312" w:hAnsi="仿宋_GB2312" w:eastAsia="仿宋_GB2312" w:cs="仿宋_GB2312"/>
          <w:b w:val="0"/>
          <w:bCs w:val="0"/>
          <w:color w:val="auto"/>
          <w:sz w:val="32"/>
          <w:szCs w:val="32"/>
          <w:lang w:val="en-US" w:eastAsia="zh-CN"/>
        </w:rPr>
        <w:t>参选</w:t>
      </w:r>
      <w:r>
        <w:rPr>
          <w:rFonts w:hint="eastAsia" w:ascii="仿宋_GB2312" w:hAnsi="仿宋_GB2312" w:eastAsia="仿宋_GB2312" w:cs="仿宋_GB2312"/>
          <w:color w:val="auto"/>
          <w:sz w:val="32"/>
          <w:szCs w:val="32"/>
        </w:rPr>
        <w:t>文件使用的度量衡单位，均</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采用中华人民共和国法定计量单位。</w:t>
      </w:r>
    </w:p>
    <w:p w14:paraId="1AC306FA">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 参选</w:t>
      </w:r>
      <w:r>
        <w:rPr>
          <w:rFonts w:hint="eastAsia" w:ascii="仿宋_GB2312" w:hAnsi="仿宋_GB2312" w:eastAsia="仿宋_GB2312" w:cs="仿宋_GB2312"/>
          <w:b/>
          <w:bCs/>
          <w:color w:val="auto"/>
          <w:sz w:val="32"/>
          <w:szCs w:val="32"/>
        </w:rPr>
        <w:t>文件的组成</w:t>
      </w:r>
    </w:p>
    <w:p w14:paraId="55E53F0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提供如下有关资料</w:t>
      </w:r>
      <w:r>
        <w:rPr>
          <w:rFonts w:hint="eastAsia" w:ascii="仿宋_GB2312" w:hAnsi="仿宋_GB2312" w:eastAsia="仿宋_GB2312" w:cs="仿宋_GB2312"/>
          <w:color w:val="auto"/>
          <w:sz w:val="32"/>
          <w:szCs w:val="32"/>
          <w:lang w:eastAsia="zh-CN"/>
        </w:rPr>
        <w:t>：</w:t>
      </w:r>
    </w:p>
    <w:p w14:paraId="0D87CCFD">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w:t>
      </w:r>
      <w:r>
        <w:rPr>
          <w:rFonts w:hint="eastAsia" w:ascii="仿宋_GB2312" w:hAnsi="仿宋_GB2312" w:eastAsia="仿宋_GB2312" w:cs="仿宋_GB2312"/>
          <w:color w:val="auto"/>
          <w:sz w:val="32"/>
          <w:szCs w:val="32"/>
          <w:lang w:val="en-US" w:eastAsia="zh-CN"/>
        </w:rPr>
        <w:t xml:space="preserve"> 资格审查</w:t>
      </w:r>
      <w:r>
        <w:rPr>
          <w:rFonts w:hint="eastAsia" w:ascii="仿宋_GB2312" w:hAnsi="仿宋_GB2312" w:eastAsia="仿宋_GB2312" w:cs="仿宋_GB2312"/>
          <w:color w:val="auto"/>
          <w:sz w:val="32"/>
          <w:szCs w:val="32"/>
        </w:rPr>
        <w:t>文件</w:t>
      </w:r>
    </w:p>
    <w:p w14:paraId="5BFCA69A">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sz w:val="32"/>
          <w:szCs w:val="32"/>
        </w:rPr>
        <w:t>按</w:t>
      </w:r>
      <w:r>
        <w:rPr>
          <w:rFonts w:hint="eastAsia" w:ascii="仿宋_GB2312" w:hAnsi="仿宋_GB2312" w:eastAsia="仿宋_GB2312" w:cs="仿宋_GB2312"/>
          <w:color w:val="auto"/>
          <w:sz w:val="32"/>
          <w:szCs w:val="32"/>
          <w:lang w:val="en-US" w:eastAsia="zh-CN"/>
        </w:rPr>
        <w:t>照比选文件</w:t>
      </w:r>
      <w:r>
        <w:rPr>
          <w:rFonts w:hint="eastAsia" w:ascii="仿宋_GB2312" w:hAnsi="仿宋_GB2312" w:eastAsia="仿宋_GB2312" w:cs="仿宋_GB2312"/>
          <w:bCs/>
          <w:color w:val="auto"/>
          <w:sz w:val="32"/>
          <w:szCs w:val="32"/>
          <w:lang w:val="en-US" w:eastAsia="zh-CN"/>
        </w:rPr>
        <w:t>项目要求提供相应材料</w:t>
      </w:r>
      <w:r>
        <w:rPr>
          <w:rFonts w:hint="eastAsia" w:ascii="仿宋_GB2312" w:hAnsi="仿宋_GB2312" w:eastAsia="仿宋_GB2312" w:cs="仿宋_GB2312"/>
          <w:color w:val="auto"/>
          <w:sz w:val="32"/>
          <w:szCs w:val="32"/>
        </w:rPr>
        <w:t>，并装订成册</w:t>
      </w:r>
      <w:r>
        <w:rPr>
          <w:rFonts w:hint="eastAsia" w:ascii="仿宋_GB2312" w:hAnsi="仿宋_GB2312" w:eastAsia="仿宋_GB2312" w:cs="仿宋_GB2312"/>
          <w:bCs/>
          <w:color w:val="auto"/>
          <w:sz w:val="32"/>
          <w:szCs w:val="32"/>
          <w:lang w:val="en-US" w:eastAsia="zh-CN"/>
        </w:rPr>
        <w:t>。</w:t>
      </w:r>
    </w:p>
    <w:p w14:paraId="5B48288E">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2.2</w:t>
      </w:r>
      <w:r>
        <w:rPr>
          <w:rFonts w:hint="eastAsia" w:ascii="仿宋_GB2312" w:hAnsi="仿宋_GB2312" w:eastAsia="仿宋_GB2312" w:cs="仿宋_GB2312"/>
          <w:bCs/>
          <w:color w:val="auto"/>
          <w:sz w:val="32"/>
          <w:szCs w:val="32"/>
          <w:lang w:val="en-US" w:eastAsia="zh-CN"/>
        </w:rPr>
        <w:t xml:space="preserve"> </w:t>
      </w:r>
      <w:r>
        <w:rPr>
          <w:rFonts w:hint="eastAsia" w:ascii="仿宋_GB2312" w:hAnsi="仿宋_GB2312" w:eastAsia="仿宋_GB2312" w:cs="仿宋_GB2312"/>
          <w:bCs/>
          <w:color w:val="auto"/>
          <w:sz w:val="32"/>
          <w:szCs w:val="32"/>
        </w:rPr>
        <w:t>综合评审文件</w:t>
      </w:r>
    </w:p>
    <w:p w14:paraId="75FF6C3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w:t>
      </w:r>
      <w:r>
        <w:rPr>
          <w:rFonts w:hint="eastAsia" w:ascii="仿宋_GB2312" w:hAnsi="仿宋_GB2312" w:eastAsia="仿宋_GB2312" w:cs="仿宋_GB2312"/>
          <w:color w:val="auto"/>
          <w:sz w:val="32"/>
          <w:szCs w:val="32"/>
          <w:lang w:val="en-US" w:eastAsia="zh-CN"/>
        </w:rPr>
        <w:t>照比选文件评审</w:t>
      </w:r>
      <w:r>
        <w:rPr>
          <w:rFonts w:hint="eastAsia" w:ascii="仿宋_GB2312" w:hAnsi="仿宋_GB2312" w:eastAsia="仿宋_GB2312" w:cs="仿宋_GB2312"/>
          <w:color w:val="auto"/>
          <w:sz w:val="32"/>
          <w:szCs w:val="32"/>
        </w:rPr>
        <w:t>要求提供相应资料，并装订成册。</w:t>
      </w:r>
    </w:p>
    <w:p w14:paraId="63B07944">
      <w:pPr>
        <w:keepNext w:val="0"/>
        <w:keepLines w:val="0"/>
        <w:pageBreakBefore w:val="0"/>
        <w:widowControl/>
        <w:numPr>
          <w:ilvl w:val="0"/>
          <w:numId w:val="3"/>
        </w:numPr>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参选</w:t>
      </w:r>
      <w:r>
        <w:rPr>
          <w:rFonts w:hint="eastAsia" w:ascii="仿宋_GB2312" w:hAnsi="仿宋_GB2312" w:eastAsia="仿宋_GB2312" w:cs="仿宋_GB2312"/>
          <w:b/>
          <w:bCs/>
          <w:color w:val="auto"/>
          <w:sz w:val="32"/>
          <w:szCs w:val="32"/>
        </w:rPr>
        <w:t>文件</w:t>
      </w:r>
      <w:r>
        <w:rPr>
          <w:rFonts w:hint="eastAsia" w:ascii="仿宋_GB2312" w:hAnsi="仿宋_GB2312" w:eastAsia="仿宋_GB2312" w:cs="仿宋_GB2312"/>
          <w:b/>
          <w:bCs/>
          <w:color w:val="auto"/>
          <w:sz w:val="32"/>
          <w:szCs w:val="32"/>
          <w:lang w:val="en-US" w:eastAsia="zh-CN"/>
        </w:rPr>
        <w:t>的</w:t>
      </w:r>
      <w:r>
        <w:rPr>
          <w:rFonts w:hint="eastAsia" w:ascii="仿宋_GB2312" w:hAnsi="仿宋_GB2312" w:eastAsia="仿宋_GB2312" w:cs="仿宋_GB2312"/>
          <w:b/>
          <w:bCs/>
          <w:color w:val="auto"/>
          <w:sz w:val="32"/>
          <w:szCs w:val="32"/>
        </w:rPr>
        <w:t>格式</w:t>
      </w:r>
      <w:r>
        <w:rPr>
          <w:rFonts w:hint="eastAsia" w:ascii="仿宋_GB2312" w:hAnsi="仿宋_GB2312" w:eastAsia="仿宋_GB2312" w:cs="仿宋_GB2312"/>
          <w:b/>
          <w:bCs/>
          <w:color w:val="auto"/>
          <w:sz w:val="32"/>
          <w:szCs w:val="32"/>
          <w:lang w:val="en-US" w:eastAsia="zh-CN"/>
        </w:rPr>
        <w:t>要求</w:t>
      </w:r>
    </w:p>
    <w:p w14:paraId="66505CF1">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 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形式、份数</w:t>
      </w:r>
    </w:p>
    <w:p w14:paraId="3929F1C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应当分别提供电子版和纸质版。纸质版材料应提供正本壹</w:t>
      </w:r>
      <w:r>
        <w:rPr>
          <w:rFonts w:hint="eastAsia" w:ascii="仿宋_GB2312" w:hAnsi="仿宋_GB2312" w:eastAsia="仿宋_GB2312" w:cs="仿宋_GB2312"/>
          <w:color w:val="auto"/>
          <w:sz w:val="32"/>
          <w:szCs w:val="32"/>
        </w:rPr>
        <w:t>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副本贰份</w:t>
      </w:r>
      <w:r>
        <w:rPr>
          <w:rFonts w:hint="eastAsia" w:ascii="仿宋_GB2312" w:hAnsi="仿宋_GB2312" w:eastAsia="仿宋_GB2312" w:cs="仿宋_GB2312"/>
          <w:color w:val="auto"/>
          <w:sz w:val="32"/>
          <w:szCs w:val="32"/>
        </w:rPr>
        <w:t>。</w:t>
      </w:r>
    </w:p>
    <w:p w14:paraId="04853A3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 参选</w:t>
      </w:r>
      <w:r>
        <w:rPr>
          <w:rFonts w:hint="eastAsia" w:ascii="仿宋_GB2312" w:hAnsi="仿宋_GB2312" w:eastAsia="仿宋_GB2312" w:cs="仿宋_GB2312"/>
          <w:color w:val="auto"/>
          <w:sz w:val="32"/>
          <w:szCs w:val="32"/>
        </w:rPr>
        <w:t>文件装订、密封</w:t>
      </w:r>
    </w:p>
    <w:p w14:paraId="7CA0A683">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文件应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统一</w:t>
      </w:r>
      <w:r>
        <w:rPr>
          <w:rFonts w:hint="eastAsia" w:ascii="仿宋_GB2312" w:hAnsi="仿宋_GB2312" w:eastAsia="仿宋_GB2312" w:cs="仿宋_GB2312"/>
          <w:color w:val="auto"/>
          <w:sz w:val="32"/>
          <w:szCs w:val="32"/>
          <w:lang w:val="en-US" w:eastAsia="zh-CN"/>
        </w:rPr>
        <w:t>采</w:t>
      </w:r>
      <w:r>
        <w:rPr>
          <w:rFonts w:hint="eastAsia" w:ascii="仿宋_GB2312" w:hAnsi="仿宋_GB2312" w:eastAsia="仿宋_GB2312" w:cs="仿宋_GB2312"/>
          <w:color w:val="auto"/>
          <w:sz w:val="32"/>
          <w:szCs w:val="32"/>
        </w:rPr>
        <w:t>用标准A4纸（图纸除外）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装订成册，装入密封的信封或包装，在信封或包装上</w:t>
      </w:r>
      <w:r>
        <w:rPr>
          <w:rFonts w:hint="eastAsia" w:ascii="仿宋_GB2312" w:hAnsi="仿宋_GB2312" w:eastAsia="仿宋_GB2312" w:cs="仿宋_GB2312"/>
          <w:color w:val="auto"/>
          <w:sz w:val="32"/>
          <w:szCs w:val="32"/>
          <w:lang w:val="en-US" w:eastAsia="zh-CN"/>
        </w:rPr>
        <w:t>粘贴封面，并</w:t>
      </w:r>
      <w:r>
        <w:rPr>
          <w:rFonts w:hint="eastAsia" w:ascii="仿宋_GB2312" w:hAnsi="仿宋_GB2312" w:eastAsia="仿宋_GB2312" w:cs="仿宋_GB2312"/>
          <w:color w:val="auto"/>
          <w:sz w:val="32"/>
          <w:szCs w:val="32"/>
          <w:lang w:eastAsia="zh-CN"/>
        </w:rPr>
        <w:t>标明项目名称、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名称、联系地址</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lang w:val="en-US" w:eastAsia="zh-CN"/>
        </w:rPr>
        <w:t>参选日期</w:t>
      </w:r>
      <w:r>
        <w:rPr>
          <w:rFonts w:hint="eastAsia" w:ascii="仿宋_GB2312" w:hAnsi="仿宋_GB2312" w:eastAsia="仿宋_GB2312" w:cs="仿宋_GB2312"/>
          <w:color w:val="auto"/>
          <w:sz w:val="32"/>
          <w:szCs w:val="32"/>
          <w:lang w:eastAsia="zh-CN"/>
        </w:rPr>
        <w:t>，封口处加盖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公章。</w:t>
      </w:r>
    </w:p>
    <w:p w14:paraId="4F811E8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文件正本应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包括有</w:t>
      </w:r>
      <w:r>
        <w:rPr>
          <w:rFonts w:hint="eastAsia" w:ascii="仿宋_GB2312" w:hAnsi="仿宋_GB2312" w:eastAsia="仿宋_GB2312" w:cs="仿宋_GB2312"/>
          <w:color w:val="auto"/>
          <w:sz w:val="32"/>
          <w:szCs w:val="32"/>
          <w:lang w:val="en-US" w:eastAsia="zh-CN"/>
        </w:rPr>
        <w:t>比选文件</w:t>
      </w:r>
      <w:r>
        <w:rPr>
          <w:rFonts w:hint="eastAsia" w:ascii="仿宋_GB2312" w:hAnsi="仿宋_GB2312" w:eastAsia="仿宋_GB2312" w:cs="仿宋_GB2312"/>
          <w:color w:val="auto"/>
          <w:sz w:val="32"/>
          <w:szCs w:val="32"/>
        </w:rPr>
        <w:t>规定的全部文件以及</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人认为必要的文件。</w:t>
      </w:r>
      <w:r>
        <w:rPr>
          <w:rFonts w:hint="eastAsia" w:ascii="仿宋_GB2312" w:hAnsi="仿宋_GB2312" w:eastAsia="仿宋_GB2312" w:cs="仿宋_GB2312"/>
          <w:color w:val="auto"/>
          <w:sz w:val="32"/>
          <w:szCs w:val="32"/>
          <w:lang w:val="en-US" w:eastAsia="zh-CN"/>
        </w:rPr>
        <w:t>参选文件正文部分不能有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正文外</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页头、页尾、页边</w:t>
      </w:r>
      <w:r>
        <w:rPr>
          <w:rFonts w:hint="eastAsia" w:ascii="仿宋_GB2312" w:hAnsi="仿宋_GB2312" w:eastAsia="仿宋_GB2312" w:cs="仿宋_GB2312"/>
          <w:color w:val="auto"/>
          <w:sz w:val="32"/>
          <w:szCs w:val="32"/>
          <w:lang w:val="en-US" w:eastAsia="zh-CN"/>
        </w:rPr>
        <w:t>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w:t>
      </w:r>
    </w:p>
    <w:p w14:paraId="1E4DD74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 参选</w:t>
      </w:r>
      <w:r>
        <w:rPr>
          <w:rFonts w:hint="eastAsia" w:ascii="仿宋_GB2312" w:hAnsi="仿宋_GB2312" w:eastAsia="仿宋_GB2312" w:cs="仿宋_GB2312"/>
          <w:b/>
          <w:bCs/>
          <w:color w:val="auto"/>
          <w:sz w:val="32"/>
          <w:szCs w:val="32"/>
        </w:rPr>
        <w:t>文件的澄清和补正</w:t>
      </w:r>
    </w:p>
    <w:p w14:paraId="7F31B2A1">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在评审过程中，</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可以书面形式要求</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人对所提交的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文件中不明确的内容进行书面澄清或说明，或者对细微偏差进行补正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不接受</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人主动提出的澄清、说明或补正。</w:t>
      </w:r>
    </w:p>
    <w:p w14:paraId="1C1A2822">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澄清、说明和补正不得改变</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文件的实质性内容（算术性错误修正的除外）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人的书面澄清、说明和补正属于</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文件的组成部分。</w:t>
      </w:r>
    </w:p>
    <w:p w14:paraId="3632EED2">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 xml:space="preserve">5. </w:t>
      </w:r>
      <w:r>
        <w:rPr>
          <w:rFonts w:hint="eastAsia" w:ascii="仿宋_GB2312" w:hAnsi="仿宋_GB2312" w:eastAsia="仿宋_GB2312" w:cs="仿宋_GB2312"/>
          <w:b/>
          <w:bCs/>
          <w:color w:val="auto"/>
          <w:sz w:val="32"/>
          <w:szCs w:val="32"/>
        </w:rPr>
        <w:t>其他须知</w:t>
      </w:r>
    </w:p>
    <w:p w14:paraId="23021A7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5.1 参选人</w:t>
      </w:r>
      <w:r>
        <w:rPr>
          <w:rFonts w:hint="eastAsia" w:ascii="仿宋_GB2312" w:hAnsi="仿宋_GB2312" w:eastAsia="仿宋_GB2312" w:cs="仿宋_GB2312"/>
          <w:color w:val="auto"/>
          <w:sz w:val="32"/>
          <w:szCs w:val="32"/>
        </w:rPr>
        <w:t>所报</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rPr>
        <w:t>应为</w:t>
      </w:r>
      <w:r>
        <w:rPr>
          <w:rFonts w:hint="eastAsia" w:ascii="仿宋_GB2312" w:hAnsi="仿宋_GB2312" w:eastAsia="仿宋_GB2312" w:cs="仿宋_GB2312"/>
          <w:color w:val="auto"/>
          <w:sz w:val="32"/>
          <w:szCs w:val="32"/>
          <w:lang w:val="en-US" w:eastAsia="zh-CN"/>
        </w:rPr>
        <w:t>价格</w:t>
      </w:r>
      <w:r>
        <w:rPr>
          <w:rFonts w:hint="eastAsia" w:ascii="仿宋_GB2312" w:hAnsi="仿宋_GB2312" w:eastAsia="仿宋_GB2312" w:cs="仿宋_GB2312"/>
          <w:color w:val="auto"/>
          <w:sz w:val="32"/>
          <w:szCs w:val="32"/>
        </w:rPr>
        <w:t>总额，包括常年法律顾问服务费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税费、</w:t>
      </w:r>
      <w:r>
        <w:rPr>
          <w:rFonts w:hint="eastAsia" w:ascii="仿宋_GB2312" w:hAnsi="仿宋_GB2312" w:eastAsia="仿宋_GB2312" w:cs="仿宋_GB2312"/>
          <w:color w:val="auto"/>
          <w:sz w:val="32"/>
          <w:szCs w:val="32"/>
        </w:rPr>
        <w:t>交通费、通讯费、餐费等</w:t>
      </w:r>
      <w:r>
        <w:rPr>
          <w:rFonts w:hint="eastAsia" w:ascii="仿宋_GB2312" w:hAnsi="仿宋_GB2312" w:eastAsia="仿宋_GB2312" w:cs="仿宋_GB2312"/>
          <w:color w:val="auto"/>
          <w:sz w:val="32"/>
          <w:szCs w:val="32"/>
          <w:lang w:val="en-US" w:eastAsia="zh-CN"/>
        </w:rPr>
        <w:t>一切</w:t>
      </w:r>
      <w:r>
        <w:rPr>
          <w:rFonts w:hint="eastAsia" w:ascii="仿宋_GB2312" w:hAnsi="仿宋_GB2312" w:eastAsia="仿宋_GB2312" w:cs="仿宋_GB2312"/>
          <w:color w:val="auto"/>
          <w:sz w:val="32"/>
          <w:szCs w:val="32"/>
        </w:rPr>
        <w:t>费用。</w:t>
      </w:r>
    </w:p>
    <w:p w14:paraId="40E8EC2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5.2 参选人</w:t>
      </w:r>
      <w:r>
        <w:rPr>
          <w:rFonts w:hint="eastAsia" w:ascii="仿宋_GB2312" w:hAnsi="仿宋_GB2312" w:eastAsia="仿宋_GB2312" w:cs="仿宋_GB2312"/>
          <w:color w:val="auto"/>
          <w:sz w:val="32"/>
          <w:szCs w:val="32"/>
        </w:rPr>
        <w:t>应本着长期合作、专业服务的精神，以</w:t>
      </w:r>
      <w:r>
        <w:rPr>
          <w:rFonts w:hint="eastAsia" w:ascii="仿宋_GB2312" w:hAnsi="仿宋_GB2312" w:eastAsia="仿宋_GB2312" w:cs="仿宋_GB2312"/>
          <w:color w:val="auto"/>
          <w:sz w:val="32"/>
          <w:szCs w:val="32"/>
          <w:lang w:val="en-US" w:eastAsia="zh-CN"/>
        </w:rPr>
        <w:t>合适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服务报价参选</w:t>
      </w:r>
      <w:r>
        <w:rPr>
          <w:rFonts w:hint="eastAsia" w:ascii="仿宋_GB2312" w:hAnsi="仿宋_GB2312" w:eastAsia="仿宋_GB2312" w:cs="仿宋_GB2312"/>
          <w:color w:val="auto"/>
          <w:sz w:val="32"/>
          <w:szCs w:val="32"/>
        </w:rPr>
        <w:t>，并严格保证</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质量。</w:t>
      </w:r>
    </w:p>
    <w:p w14:paraId="05049C3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5.3 参选人</w:t>
      </w:r>
      <w:r>
        <w:rPr>
          <w:rFonts w:hint="eastAsia" w:ascii="仿宋_GB2312" w:hAnsi="仿宋_GB2312" w:eastAsia="仿宋_GB2312" w:cs="仿宋_GB2312"/>
          <w:color w:val="auto"/>
          <w:sz w:val="32"/>
          <w:szCs w:val="32"/>
        </w:rPr>
        <w:t>不允许提交两份或两份以上不同实质内容的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文件均不退还，由</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存档备</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将对</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资料予以保密。</w:t>
      </w:r>
    </w:p>
    <w:p w14:paraId="5F0245A0">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5.4 参选人应对其提交的参选文件的真实性、合法性、完整性负责，若有不实，作废选处理或解除服务合同。</w:t>
      </w:r>
    </w:p>
    <w:p w14:paraId="0A5B208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5.5 参选人</w:t>
      </w:r>
      <w:r>
        <w:rPr>
          <w:rFonts w:hint="eastAsia" w:ascii="仿宋_GB2312" w:hAnsi="仿宋_GB2312" w:eastAsia="仿宋_GB2312" w:cs="仿宋_GB2312"/>
          <w:color w:val="auto"/>
          <w:sz w:val="32"/>
          <w:szCs w:val="32"/>
        </w:rPr>
        <w:t>及指派律师的情况和专业水平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参选文件</w:t>
      </w:r>
      <w:r>
        <w:rPr>
          <w:rFonts w:hint="eastAsia" w:ascii="仿宋_GB2312" w:hAnsi="仿宋_GB2312" w:eastAsia="仿宋_GB2312" w:cs="仿宋_GB2312"/>
          <w:color w:val="auto"/>
          <w:sz w:val="32"/>
          <w:szCs w:val="32"/>
        </w:rPr>
        <w:t>所述</w:t>
      </w:r>
      <w:r>
        <w:rPr>
          <w:rFonts w:hint="eastAsia" w:ascii="仿宋_GB2312" w:hAnsi="仿宋_GB2312" w:eastAsia="仿宋_GB2312" w:cs="仿宋_GB2312"/>
          <w:color w:val="auto"/>
          <w:sz w:val="32"/>
          <w:szCs w:val="32"/>
          <w:lang w:val="en-US" w:eastAsia="zh-CN"/>
        </w:rPr>
        <w:t>严重</w:t>
      </w:r>
      <w:r>
        <w:rPr>
          <w:rFonts w:hint="eastAsia" w:ascii="仿宋_GB2312" w:hAnsi="仿宋_GB2312" w:eastAsia="仿宋_GB2312" w:cs="仿宋_GB2312"/>
          <w:color w:val="auto"/>
          <w:sz w:val="32"/>
          <w:szCs w:val="32"/>
        </w:rPr>
        <w:t>不符</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及指派律师的实际从业能力无法</w:t>
      </w:r>
      <w:r>
        <w:rPr>
          <w:rFonts w:hint="eastAsia" w:ascii="仿宋_GB2312" w:hAnsi="仿宋_GB2312" w:eastAsia="仿宋_GB2312" w:cs="仿宋_GB2312"/>
          <w:color w:val="auto"/>
          <w:sz w:val="32"/>
          <w:szCs w:val="32"/>
          <w:lang w:val="en-US" w:eastAsia="zh-CN"/>
        </w:rPr>
        <w:t>满足公司基本</w:t>
      </w:r>
      <w:r>
        <w:rPr>
          <w:rFonts w:hint="eastAsia" w:ascii="仿宋_GB2312" w:hAnsi="仿宋_GB2312" w:eastAsia="仿宋_GB2312" w:cs="仿宋_GB2312"/>
          <w:color w:val="auto"/>
          <w:sz w:val="32"/>
          <w:szCs w:val="32"/>
        </w:rPr>
        <w:t>要求的，或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及指派律师的</w:t>
      </w:r>
      <w:r>
        <w:rPr>
          <w:rFonts w:hint="eastAsia" w:ascii="仿宋_GB2312" w:hAnsi="仿宋_GB2312" w:eastAsia="仿宋_GB2312" w:cs="仿宋_GB2312"/>
          <w:color w:val="auto"/>
          <w:sz w:val="32"/>
          <w:szCs w:val="32"/>
          <w:lang w:val="en-US" w:eastAsia="zh-CN"/>
        </w:rPr>
        <w:t>重大</w:t>
      </w:r>
      <w:r>
        <w:rPr>
          <w:rFonts w:hint="eastAsia" w:ascii="仿宋_GB2312" w:hAnsi="仿宋_GB2312" w:eastAsia="仿宋_GB2312" w:cs="仿宋_GB2312"/>
          <w:color w:val="auto"/>
          <w:sz w:val="32"/>
          <w:szCs w:val="32"/>
        </w:rPr>
        <w:t>过错给</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带来损失的，</w:t>
      </w:r>
      <w:r>
        <w:rPr>
          <w:rFonts w:hint="eastAsia" w:ascii="仿宋_GB2312" w:hAnsi="仿宋_GB2312" w:eastAsia="仿宋_GB2312" w:cs="仿宋_GB2312"/>
          <w:color w:val="auto"/>
          <w:sz w:val="32"/>
          <w:szCs w:val="32"/>
          <w:lang w:val="en-US" w:eastAsia="zh-CN"/>
        </w:rPr>
        <w:t>公司有权作废选处理或解除服务合同</w:t>
      </w:r>
      <w:r>
        <w:rPr>
          <w:rFonts w:hint="eastAsia" w:ascii="仿宋_GB2312" w:hAnsi="仿宋_GB2312" w:eastAsia="仿宋_GB2312" w:cs="仿宋_GB2312"/>
          <w:color w:val="auto"/>
          <w:sz w:val="32"/>
          <w:szCs w:val="32"/>
        </w:rPr>
        <w:t>。</w:t>
      </w:r>
    </w:p>
    <w:p w14:paraId="503D17D7">
      <w:pPr>
        <w:rPr>
          <w:rFonts w:hint="eastAsia" w:ascii="宋体" w:hAnsi="宋体"/>
          <w:color w:val="auto"/>
          <w:sz w:val="36"/>
          <w:szCs w:val="36"/>
        </w:rPr>
      </w:pPr>
      <w:r>
        <w:rPr>
          <w:rFonts w:hint="eastAsia" w:ascii="宋体" w:hAnsi="宋体"/>
          <w:color w:val="auto"/>
          <w:sz w:val="36"/>
          <w:szCs w:val="36"/>
        </w:rPr>
        <w:br w:type="page"/>
      </w:r>
    </w:p>
    <w:p w14:paraId="2CC0A23F">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6" w:name="_Toc20971"/>
      <w:r>
        <w:rPr>
          <w:rFonts w:hint="eastAsia" w:ascii="黑体" w:hAnsi="黑体" w:eastAsia="黑体" w:cs="黑体"/>
          <w:b w:val="0"/>
          <w:bCs w:val="0"/>
          <w:color w:val="auto"/>
          <w:lang w:val="en-US" w:eastAsia="zh-CN"/>
        </w:rPr>
        <w:t>第三章 评</w:t>
      </w:r>
      <w:bookmarkEnd w:id="13"/>
      <w:bookmarkEnd w:id="14"/>
      <w:r>
        <w:rPr>
          <w:rFonts w:hint="eastAsia" w:ascii="黑体" w:hAnsi="黑体" w:eastAsia="黑体" w:cs="黑体"/>
          <w:b w:val="0"/>
          <w:bCs w:val="0"/>
          <w:color w:val="auto"/>
          <w:lang w:val="en-US" w:eastAsia="zh-CN"/>
        </w:rPr>
        <w:t>审办法</w:t>
      </w:r>
      <w:bookmarkEnd w:id="16"/>
    </w:p>
    <w:p w14:paraId="4962B306">
      <w:pPr>
        <w:keepNext w:val="0"/>
        <w:keepLines w:val="0"/>
        <w:pageBreakBefore w:val="0"/>
        <w:widowControl w:val="0"/>
        <w:kinsoku/>
        <w:wordWrap w:val="0"/>
        <w:overflowPunct w:val="0"/>
        <w:topLinePunct w:val="0"/>
        <w:autoSpaceDE/>
        <w:autoSpaceDN/>
        <w:bidi w:val="0"/>
        <w:adjustRightInd/>
        <w:spacing w:line="560" w:lineRule="exact"/>
        <w:ind w:left="0" w:firstLine="0" w:firstLineChars="0"/>
        <w:textAlignment w:val="auto"/>
        <w:rPr>
          <w:rFonts w:hint="eastAsia" w:ascii="仿宋_GB2312" w:hAnsi="仿宋_GB2312" w:eastAsia="仿宋_GB2312" w:cs="仿宋_GB2312"/>
          <w:color w:val="auto"/>
          <w:sz w:val="32"/>
          <w:szCs w:val="32"/>
        </w:rPr>
      </w:pPr>
      <w:bookmarkStart w:id="17" w:name="_Toc11876"/>
      <w:bookmarkStart w:id="18" w:name="_Toc81784911"/>
    </w:p>
    <w:p w14:paraId="46E61492">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评</w:t>
      </w:r>
      <w:r>
        <w:rPr>
          <w:rFonts w:hint="eastAsia" w:ascii="黑体" w:hAnsi="黑体" w:eastAsia="黑体" w:cs="黑体"/>
          <w:b w:val="0"/>
          <w:bCs w:val="0"/>
          <w:color w:val="auto"/>
          <w:sz w:val="32"/>
          <w:szCs w:val="32"/>
          <w:lang w:val="en-US" w:eastAsia="zh-CN"/>
        </w:rPr>
        <w:t>审须知</w:t>
      </w:r>
    </w:p>
    <w:p w14:paraId="72169805">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本项目公司</w:t>
      </w:r>
      <w:r>
        <w:rPr>
          <w:rFonts w:hint="eastAsia" w:ascii="仿宋_GB2312" w:hAnsi="仿宋_GB2312" w:eastAsia="仿宋_GB2312" w:cs="仿宋_GB2312"/>
          <w:color w:val="auto"/>
          <w:sz w:val="32"/>
          <w:szCs w:val="32"/>
        </w:rPr>
        <w:t>自行组建</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采用现场评审方式进行评审</w:t>
      </w:r>
      <w:r>
        <w:rPr>
          <w:rFonts w:hint="eastAsia" w:ascii="仿宋_GB2312" w:hAnsi="仿宋_GB2312" w:eastAsia="仿宋_GB2312" w:cs="仿宋_GB2312"/>
          <w:color w:val="auto"/>
          <w:sz w:val="32"/>
          <w:szCs w:val="32"/>
        </w:rPr>
        <w:t>。</w:t>
      </w:r>
    </w:p>
    <w:p w14:paraId="4C95DE4D">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本项目评审小组根据比选文件要求，对参选人的资格条件进行审查，只有通过资格审查才能进入综合评审。</w:t>
      </w:r>
    </w:p>
    <w:p w14:paraId="4882C33E">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1.3 </w:t>
      </w:r>
      <w:r>
        <w:rPr>
          <w:rFonts w:hint="eastAsia" w:ascii="仿宋_GB2312" w:hAnsi="仿宋_GB2312" w:eastAsia="仿宋_GB2312" w:cs="仿宋_GB2312"/>
          <w:color w:val="auto"/>
          <w:sz w:val="32"/>
          <w:szCs w:val="32"/>
        </w:rPr>
        <w:t>本次</w:t>
      </w:r>
      <w:r>
        <w:rPr>
          <w:rFonts w:hint="eastAsia" w:ascii="仿宋_GB2312" w:hAnsi="仿宋_GB2312" w:eastAsia="仿宋_GB2312" w:cs="仿宋_GB2312"/>
          <w:color w:val="auto"/>
          <w:sz w:val="32"/>
          <w:szCs w:val="32"/>
          <w:lang w:val="en-US" w:eastAsia="zh-CN"/>
        </w:rPr>
        <w:t>采购项目</w:t>
      </w:r>
      <w:r>
        <w:rPr>
          <w:rFonts w:hint="eastAsia" w:ascii="仿宋_GB2312" w:hAnsi="仿宋_GB2312" w:eastAsia="仿宋_GB2312" w:cs="仿宋_GB2312"/>
          <w:color w:val="auto"/>
          <w:sz w:val="32"/>
          <w:szCs w:val="32"/>
        </w:rPr>
        <w:t>采用综合评分法</w:t>
      </w:r>
      <w:r>
        <w:rPr>
          <w:rFonts w:hint="eastAsia" w:ascii="仿宋_GB2312" w:hAnsi="仿宋_GB2312" w:eastAsia="仿宋_GB2312" w:cs="仿宋_GB2312"/>
          <w:color w:val="auto"/>
          <w:sz w:val="32"/>
          <w:szCs w:val="32"/>
          <w:lang w:val="en-US" w:eastAsia="zh-CN"/>
        </w:rPr>
        <w:t>，评审小组根据比选文件量化因素、分值要求，对参选文件的内容进行综合评价打分并计算出综合得分。</w:t>
      </w:r>
    </w:p>
    <w:p w14:paraId="2D0AD689">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 本项目评审小组进行</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文件进行检查，确定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密封</w:t>
      </w:r>
      <w:r>
        <w:rPr>
          <w:rFonts w:hint="eastAsia" w:ascii="仿宋_GB2312" w:hAnsi="仿宋_GB2312" w:eastAsia="仿宋_GB2312" w:cs="仿宋_GB2312"/>
          <w:color w:val="auto"/>
          <w:sz w:val="32"/>
          <w:szCs w:val="32"/>
        </w:rPr>
        <w:t>完整，经确认无误后，确定为有效</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p>
    <w:p w14:paraId="29BACC2B">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 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以他人的名义</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、串通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、以行贿手段谋取中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或者以其他弄虚作假方式</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的，应当否决该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w:t>
      </w:r>
    </w:p>
    <w:p w14:paraId="6005FE9B">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 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参选人的</w:t>
      </w:r>
      <w:r>
        <w:rPr>
          <w:rFonts w:hint="default" w:ascii="仿宋_GB2312" w:hAnsi="仿宋_GB2312" w:eastAsia="仿宋_GB2312" w:cs="仿宋_GB2312"/>
          <w:color w:val="auto"/>
          <w:sz w:val="32"/>
          <w:szCs w:val="32"/>
          <w:lang w:val="en-US" w:eastAsia="zh-CN"/>
        </w:rPr>
        <w:t>资格条件不符合国家有关规定和</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lang w:val="en-US" w:eastAsia="zh-CN"/>
        </w:rPr>
        <w:t>规定和</w:t>
      </w:r>
      <w:r>
        <w:rPr>
          <w:rFonts w:hint="default" w:ascii="仿宋_GB2312" w:hAnsi="仿宋_GB2312" w:eastAsia="仿宋_GB2312" w:cs="仿宋_GB2312"/>
          <w:color w:val="auto"/>
          <w:sz w:val="32"/>
          <w:szCs w:val="32"/>
          <w:lang w:val="en-US" w:eastAsia="zh-CN"/>
        </w:rPr>
        <w:t>要求的，或者拒不按照</w:t>
      </w:r>
      <w:r>
        <w:rPr>
          <w:rFonts w:hint="eastAsia" w:ascii="仿宋_GB2312" w:hAnsi="仿宋_GB2312" w:eastAsia="仿宋_GB2312" w:cs="仿宋_GB2312"/>
          <w:color w:val="auto"/>
          <w:sz w:val="32"/>
          <w:szCs w:val="32"/>
          <w:lang w:val="en-US" w:eastAsia="zh-CN"/>
        </w:rPr>
        <w:t>评审小组</w:t>
      </w:r>
      <w:r>
        <w:rPr>
          <w:rFonts w:hint="default" w:ascii="仿宋_GB2312" w:hAnsi="仿宋_GB2312" w:eastAsia="仿宋_GB2312" w:cs="仿宋_GB2312"/>
          <w:color w:val="auto"/>
          <w:sz w:val="32"/>
          <w:szCs w:val="32"/>
          <w:lang w:val="en-US" w:eastAsia="zh-CN"/>
        </w:rPr>
        <w:t>要求对</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文件进行澄清、说明或者补正的，</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应当</w:t>
      </w:r>
      <w:r>
        <w:rPr>
          <w:rFonts w:hint="default" w:ascii="仿宋_GB2312" w:hAnsi="仿宋_GB2312" w:eastAsia="仿宋_GB2312" w:cs="仿宋_GB2312"/>
          <w:color w:val="auto"/>
          <w:sz w:val="32"/>
          <w:szCs w:val="32"/>
          <w:lang w:val="en-US" w:eastAsia="zh-CN"/>
        </w:rPr>
        <w:t>否决</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default" w:ascii="仿宋_GB2312" w:hAnsi="仿宋_GB2312" w:eastAsia="仿宋_GB2312" w:cs="仿宋_GB2312"/>
          <w:color w:val="auto"/>
          <w:sz w:val="32"/>
          <w:szCs w:val="32"/>
          <w:lang w:val="en-US" w:eastAsia="zh-CN"/>
        </w:rPr>
        <w:t>。</w:t>
      </w:r>
    </w:p>
    <w:p w14:paraId="2A403DC2">
      <w:pPr>
        <w:keepNext w:val="0"/>
        <w:keepLines w:val="0"/>
        <w:pageBreakBefore w:val="0"/>
        <w:widowControl w:val="0"/>
        <w:kinsoku/>
        <w:wordWrap w:val="0"/>
        <w:overflowPunct w:val="0"/>
        <w:topLinePunct w:val="0"/>
        <w:autoSpaceDE/>
        <w:autoSpaceDN/>
        <w:bidi w:val="0"/>
        <w:adjustRightIn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1.7 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w:t>
      </w:r>
      <w:r>
        <w:rPr>
          <w:rFonts w:hint="eastAsia" w:ascii="仿宋_GB2312" w:hAnsi="仿宋_GB2312" w:eastAsia="仿宋_GB2312" w:cs="仿宋_GB2312"/>
          <w:color w:val="auto"/>
          <w:sz w:val="32"/>
          <w:szCs w:val="32"/>
          <w:lang w:val="en-US" w:eastAsia="zh-CN"/>
        </w:rPr>
        <w:t>应当严格</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比选文</w:t>
      </w:r>
      <w:r>
        <w:rPr>
          <w:rFonts w:hint="eastAsia" w:ascii="仿宋_GB2312" w:hAnsi="仿宋_GB2312" w:eastAsia="仿宋_GB2312" w:cs="仿宋_GB2312"/>
          <w:color w:val="auto"/>
          <w:sz w:val="32"/>
          <w:szCs w:val="32"/>
        </w:rPr>
        <w:t>件的要求逐一对有效的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w:t>
      </w:r>
      <w:r>
        <w:rPr>
          <w:rFonts w:hint="eastAsia" w:ascii="仿宋_GB2312" w:hAnsi="仿宋_GB2312" w:eastAsia="仿宋_GB2312" w:cs="仿宋_GB2312"/>
          <w:color w:val="auto"/>
          <w:sz w:val="32"/>
          <w:szCs w:val="32"/>
          <w:lang w:val="en-US" w:eastAsia="zh-CN"/>
        </w:rPr>
        <w:t>分项</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并计算出综合得分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根据综合得分，由高到低的顺序推荐前三名候选人</w:t>
      </w:r>
      <w:r>
        <w:rPr>
          <w:rFonts w:hint="eastAsia" w:ascii="仿宋_GB2312" w:hAnsi="仿宋_GB2312" w:eastAsia="仿宋_GB2312" w:cs="仿宋_GB2312"/>
          <w:color w:val="auto"/>
          <w:sz w:val="32"/>
          <w:szCs w:val="32"/>
        </w:rPr>
        <w:t>。</w:t>
      </w:r>
    </w:p>
    <w:p w14:paraId="5FBDB816">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二、现场评审</w:t>
      </w:r>
    </w:p>
    <w:p w14:paraId="4B510D29">
      <w:pPr>
        <w:keepNext w:val="0"/>
        <w:keepLines w:val="0"/>
        <w:pageBreakBefore w:val="0"/>
        <w:widowControl w:val="0"/>
        <w:kinsoku/>
        <w:wordWrap w:val="0"/>
        <w:overflowPunct w:val="0"/>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 资格审查</w:t>
      </w:r>
    </w:p>
    <w:tbl>
      <w:tblPr>
        <w:tblStyle w:val="29"/>
        <w:tblW w:w="10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5901"/>
        <w:gridCol w:w="3120"/>
      </w:tblGrid>
      <w:tr w14:paraId="1517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shd w:val="clear" w:color="auto" w:fill="auto"/>
            <w:vAlign w:val="center"/>
          </w:tcPr>
          <w:p w14:paraId="33C85A51">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b/>
                <w:bCs/>
                <w:color w:val="auto"/>
                <w:sz w:val="32"/>
                <w:szCs w:val="32"/>
                <w:lang w:eastAsia="zh-CN" w:bidi="ar-SA"/>
              </w:rPr>
            </w:pPr>
            <w:r>
              <w:rPr>
                <w:rFonts w:hint="eastAsia" w:ascii="仿宋_GB2312" w:hAnsi="仿宋_GB2312" w:eastAsia="仿宋_GB2312" w:cs="仿宋_GB2312"/>
                <w:b/>
                <w:bCs/>
                <w:color w:val="auto"/>
                <w:sz w:val="32"/>
                <w:szCs w:val="32"/>
                <w:lang w:eastAsia="zh-CN" w:bidi="ar-SA"/>
              </w:rPr>
              <w:t>序号</w:t>
            </w:r>
          </w:p>
        </w:tc>
        <w:tc>
          <w:tcPr>
            <w:tcW w:w="5901" w:type="dxa"/>
            <w:shd w:val="clear" w:color="auto" w:fill="auto"/>
            <w:vAlign w:val="center"/>
          </w:tcPr>
          <w:p w14:paraId="767D4123">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b/>
                <w:bCs/>
                <w:color w:val="auto"/>
                <w:sz w:val="32"/>
                <w:szCs w:val="32"/>
                <w:lang w:eastAsia="zh-CN" w:bidi="ar-SA"/>
              </w:rPr>
            </w:pPr>
            <w:r>
              <w:rPr>
                <w:rFonts w:hint="eastAsia" w:ascii="仿宋_GB2312" w:hAnsi="仿宋_GB2312" w:eastAsia="仿宋_GB2312" w:cs="仿宋_GB2312"/>
                <w:b/>
                <w:bCs/>
                <w:color w:val="auto"/>
                <w:sz w:val="32"/>
                <w:szCs w:val="32"/>
                <w:lang w:eastAsia="zh-CN" w:bidi="ar-SA"/>
              </w:rPr>
              <w:t>资格条件</w:t>
            </w:r>
          </w:p>
        </w:tc>
        <w:tc>
          <w:tcPr>
            <w:tcW w:w="3120" w:type="dxa"/>
            <w:shd w:val="clear" w:color="auto" w:fill="auto"/>
            <w:vAlign w:val="center"/>
          </w:tcPr>
          <w:p w14:paraId="6BBA8EB0">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b/>
                <w:bCs/>
                <w:color w:val="auto"/>
                <w:sz w:val="32"/>
                <w:szCs w:val="32"/>
                <w:lang w:eastAsia="zh-CN" w:bidi="ar-SA"/>
              </w:rPr>
            </w:pPr>
            <w:r>
              <w:rPr>
                <w:rFonts w:hint="eastAsia" w:ascii="仿宋_GB2312" w:hAnsi="仿宋_GB2312" w:eastAsia="仿宋_GB2312" w:cs="仿宋_GB2312"/>
                <w:b/>
                <w:bCs/>
                <w:color w:val="auto"/>
                <w:sz w:val="32"/>
                <w:szCs w:val="32"/>
                <w:lang w:val="en-US" w:eastAsia="zh-CN" w:bidi="ar-SA"/>
              </w:rPr>
              <w:t>审查</w:t>
            </w:r>
            <w:r>
              <w:rPr>
                <w:rFonts w:hint="eastAsia" w:ascii="仿宋_GB2312" w:hAnsi="仿宋_GB2312" w:eastAsia="仿宋_GB2312" w:cs="仿宋_GB2312"/>
                <w:b/>
                <w:bCs/>
                <w:color w:val="auto"/>
                <w:sz w:val="32"/>
                <w:szCs w:val="32"/>
                <w:lang w:eastAsia="zh-CN" w:bidi="ar-SA"/>
              </w:rPr>
              <w:t>要求</w:t>
            </w:r>
          </w:p>
        </w:tc>
      </w:tr>
      <w:tr w14:paraId="0F82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shd w:val="clear" w:color="auto" w:fill="auto"/>
            <w:vAlign w:val="center"/>
          </w:tcPr>
          <w:p w14:paraId="713C5878">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w:t>
            </w:r>
          </w:p>
        </w:tc>
        <w:tc>
          <w:tcPr>
            <w:tcW w:w="5901" w:type="dxa"/>
            <w:shd w:val="clear" w:color="auto" w:fill="auto"/>
            <w:vAlign w:val="center"/>
          </w:tcPr>
          <w:p w14:paraId="7D663848">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参选人须是在中华人民共和国境内注册、具有独立承担民事责任能力的律师事务所，须未被列入信用中国网站(www.creditchina.gov.cn)的“失信被执行人”“重大税收违法失信主体”“政府采购严重违法失信名单”和中国政府采购网(www.ccgp.gov.cn)的“政府采购严重违法失信行为记录名单”。</w:t>
            </w:r>
          </w:p>
        </w:tc>
        <w:tc>
          <w:tcPr>
            <w:tcW w:w="3120" w:type="dxa"/>
            <w:shd w:val="clear" w:color="auto" w:fill="auto"/>
            <w:vAlign w:val="center"/>
          </w:tcPr>
          <w:p w14:paraId="62C26CEA">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eastAsia="zh-CN" w:bidi="ar-SA"/>
              </w:rPr>
              <w:t>提供信用中国网站（www.creditchina.gov.cn）和中国政府采购网（www.ccgp.gov.cn）查询结果截图，并加盖公章</w:t>
            </w:r>
          </w:p>
        </w:tc>
      </w:tr>
      <w:tr w14:paraId="3417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jc w:val="center"/>
        </w:trPr>
        <w:tc>
          <w:tcPr>
            <w:tcW w:w="1078" w:type="dxa"/>
            <w:shd w:val="clear" w:color="auto" w:fill="auto"/>
            <w:vAlign w:val="center"/>
          </w:tcPr>
          <w:p w14:paraId="00F7FDFD">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w:t>
            </w:r>
          </w:p>
        </w:tc>
        <w:tc>
          <w:tcPr>
            <w:tcW w:w="5901" w:type="dxa"/>
            <w:shd w:val="clear" w:color="auto" w:fill="auto"/>
            <w:vAlign w:val="center"/>
          </w:tcPr>
          <w:p w14:paraId="6B01079E">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参选人具有依法缴纳税收和社会保障资金的良好记录。</w:t>
            </w:r>
          </w:p>
        </w:tc>
        <w:tc>
          <w:tcPr>
            <w:tcW w:w="3120" w:type="dxa"/>
            <w:shd w:val="clear" w:color="auto" w:fill="auto"/>
            <w:vAlign w:val="center"/>
          </w:tcPr>
          <w:p w14:paraId="035B7599">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eastAsia="zh-CN" w:bidi="ar-SA"/>
              </w:rPr>
              <w:t>提供参选时最近3个月的单位缴纳税收、拟指派执业律师的社保记录凭证（单位职工参保花名册），并加盖公章</w:t>
            </w:r>
          </w:p>
        </w:tc>
      </w:tr>
      <w:tr w14:paraId="03D6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078" w:type="dxa"/>
            <w:shd w:val="clear" w:color="auto" w:fill="auto"/>
            <w:vAlign w:val="center"/>
          </w:tcPr>
          <w:p w14:paraId="727333BB">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3</w:t>
            </w:r>
          </w:p>
        </w:tc>
        <w:tc>
          <w:tcPr>
            <w:tcW w:w="5901" w:type="dxa"/>
            <w:shd w:val="clear" w:color="auto" w:fill="auto"/>
            <w:vAlign w:val="center"/>
          </w:tcPr>
          <w:p w14:paraId="47F2407A">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参选人（包含拟指派执业律师）参选前三年内，在经营活动中没有重大违纪、违法记录。</w:t>
            </w:r>
          </w:p>
        </w:tc>
        <w:tc>
          <w:tcPr>
            <w:tcW w:w="3120" w:type="dxa"/>
            <w:shd w:val="clear" w:color="auto" w:fill="auto"/>
            <w:vAlign w:val="center"/>
          </w:tcPr>
          <w:p w14:paraId="5DCEED33">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提供声明函，格式自拟，并加盖公章</w:t>
            </w:r>
          </w:p>
        </w:tc>
      </w:tr>
      <w:tr w14:paraId="5AE8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shd w:val="clear" w:color="auto" w:fill="auto"/>
            <w:vAlign w:val="center"/>
          </w:tcPr>
          <w:p w14:paraId="36F43A8B">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4</w:t>
            </w:r>
          </w:p>
        </w:tc>
        <w:tc>
          <w:tcPr>
            <w:tcW w:w="5901" w:type="dxa"/>
            <w:shd w:val="clear" w:color="auto" w:fill="auto"/>
            <w:vAlign w:val="center"/>
          </w:tcPr>
          <w:p w14:paraId="1205A390">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参选人（包含拟指派执业律师）参选前三年内未因自身的任何违约、违法及违反职业道德的行为而导致服务合同解除或败诉，没有被投诉，未受过司法行政部门的行政处罚或律师协会的行业处分记录。</w:t>
            </w:r>
          </w:p>
        </w:tc>
        <w:tc>
          <w:tcPr>
            <w:tcW w:w="3120" w:type="dxa"/>
            <w:shd w:val="clear" w:color="auto" w:fill="auto"/>
            <w:vAlign w:val="center"/>
          </w:tcPr>
          <w:p w14:paraId="2F092169">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提供声明函，格式自拟，并加盖公章</w:t>
            </w:r>
          </w:p>
        </w:tc>
      </w:tr>
      <w:tr w14:paraId="338A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shd w:val="clear" w:color="auto" w:fill="auto"/>
            <w:vAlign w:val="center"/>
          </w:tcPr>
          <w:p w14:paraId="562BFBAF">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5</w:t>
            </w:r>
          </w:p>
        </w:tc>
        <w:tc>
          <w:tcPr>
            <w:tcW w:w="5901" w:type="dxa"/>
            <w:shd w:val="clear" w:color="auto" w:fill="auto"/>
            <w:vAlign w:val="center"/>
          </w:tcPr>
          <w:p w14:paraId="5EBE1156">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参选人具有良好的社会关系、资信实力、管理水平、商业信誉和健全的财务会计制度。</w:t>
            </w:r>
          </w:p>
        </w:tc>
        <w:tc>
          <w:tcPr>
            <w:tcW w:w="3120" w:type="dxa"/>
            <w:shd w:val="clear" w:color="auto" w:fill="auto"/>
            <w:vAlign w:val="center"/>
          </w:tcPr>
          <w:p w14:paraId="0A870143">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提供声明函，格式自拟，并加盖公章</w:t>
            </w:r>
          </w:p>
        </w:tc>
      </w:tr>
      <w:tr w14:paraId="4989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shd w:val="clear" w:color="auto" w:fill="auto"/>
            <w:vAlign w:val="center"/>
          </w:tcPr>
          <w:p w14:paraId="62314FF0">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w:t>
            </w:r>
          </w:p>
        </w:tc>
        <w:tc>
          <w:tcPr>
            <w:tcW w:w="5901" w:type="dxa"/>
            <w:shd w:val="clear" w:color="auto" w:fill="auto"/>
            <w:vAlign w:val="center"/>
          </w:tcPr>
          <w:p w14:paraId="6202A79D">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参选人不存在与公司存在利益冲突的情形（含诉讼、非诉讼、仲裁、投资并购等存在利益冲突的事项）。</w:t>
            </w:r>
          </w:p>
        </w:tc>
        <w:tc>
          <w:tcPr>
            <w:tcW w:w="3120" w:type="dxa"/>
            <w:shd w:val="clear" w:color="auto" w:fill="auto"/>
            <w:vAlign w:val="center"/>
          </w:tcPr>
          <w:p w14:paraId="1F73D791">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提供声明函，格式自拟，并加盖公章</w:t>
            </w:r>
          </w:p>
        </w:tc>
      </w:tr>
      <w:tr w14:paraId="09E5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shd w:val="clear" w:color="auto" w:fill="auto"/>
            <w:vAlign w:val="center"/>
          </w:tcPr>
          <w:p w14:paraId="649DAEB3">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w:t>
            </w:r>
          </w:p>
        </w:tc>
        <w:tc>
          <w:tcPr>
            <w:tcW w:w="5901" w:type="dxa"/>
            <w:shd w:val="clear" w:color="auto" w:fill="auto"/>
            <w:vAlign w:val="center"/>
          </w:tcPr>
          <w:p w14:paraId="4C932BCE">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eastAsia="zh-CN" w:bidi="ar-SA"/>
              </w:rPr>
              <w:t>参选人承诺提供</w:t>
            </w:r>
            <w:r>
              <w:rPr>
                <w:rFonts w:hint="eastAsia" w:ascii="仿宋_GB2312" w:hAnsi="仿宋_GB2312" w:eastAsia="仿宋_GB2312" w:cs="仿宋_GB2312"/>
                <w:color w:val="auto"/>
                <w:sz w:val="32"/>
                <w:szCs w:val="32"/>
                <w:lang w:val="en-US" w:eastAsia="zh-CN" w:bidi="ar-SA"/>
              </w:rPr>
              <w:t>法律</w:t>
            </w:r>
            <w:r>
              <w:rPr>
                <w:rFonts w:hint="eastAsia" w:ascii="仿宋_GB2312" w:hAnsi="仿宋_GB2312" w:eastAsia="仿宋_GB2312" w:cs="仿宋_GB2312"/>
                <w:color w:val="auto"/>
                <w:sz w:val="32"/>
                <w:szCs w:val="32"/>
                <w:lang w:eastAsia="zh-CN" w:bidi="ar-SA"/>
              </w:rPr>
              <w:t>服务过程中具备相应数量的服务</w:t>
            </w:r>
            <w:r>
              <w:rPr>
                <w:rFonts w:hint="eastAsia" w:ascii="仿宋_GB2312" w:hAnsi="仿宋_GB2312" w:eastAsia="仿宋_GB2312" w:cs="仿宋_GB2312"/>
                <w:color w:val="auto"/>
                <w:sz w:val="32"/>
                <w:szCs w:val="32"/>
                <w:lang w:val="en-US" w:eastAsia="zh-CN" w:bidi="ar-SA"/>
              </w:rPr>
              <w:t>团队</w:t>
            </w:r>
            <w:r>
              <w:rPr>
                <w:rFonts w:hint="eastAsia" w:ascii="仿宋_GB2312" w:hAnsi="仿宋_GB2312" w:eastAsia="仿宋_GB2312" w:cs="仿宋_GB2312"/>
                <w:color w:val="auto"/>
                <w:sz w:val="32"/>
                <w:szCs w:val="32"/>
                <w:lang w:eastAsia="zh-CN" w:bidi="ar-SA"/>
              </w:rPr>
              <w:t>人员：</w:t>
            </w:r>
            <w:r>
              <w:rPr>
                <w:rFonts w:hint="eastAsia" w:ascii="仿宋_GB2312" w:hAnsi="仿宋_GB2312" w:eastAsia="仿宋_GB2312" w:cs="仿宋_GB2312"/>
                <w:color w:val="auto"/>
                <w:sz w:val="32"/>
                <w:szCs w:val="32"/>
                <w:lang w:val="en-US" w:eastAsia="zh-CN" w:bidi="ar-SA"/>
              </w:rPr>
              <w:t>主办律师至少一名，协办律师至少两名</w:t>
            </w:r>
            <w:r>
              <w:rPr>
                <w:rFonts w:hint="eastAsia" w:ascii="仿宋_GB2312" w:hAnsi="仿宋_GB2312" w:eastAsia="仿宋_GB2312" w:cs="仿宋_GB2312"/>
                <w:color w:val="auto"/>
                <w:sz w:val="32"/>
                <w:szCs w:val="32"/>
                <w:lang w:eastAsia="zh-CN" w:bidi="ar-SA"/>
              </w:rPr>
              <w:t>。</w:t>
            </w:r>
          </w:p>
          <w:p w14:paraId="24A9EFFD">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bidi="ar-SA"/>
              </w:rPr>
              <w:t>主办律师</w:t>
            </w:r>
            <w:r>
              <w:rPr>
                <w:rFonts w:hint="eastAsia" w:ascii="仿宋_GB2312" w:hAnsi="仿宋_GB2312" w:eastAsia="仿宋_GB2312" w:cs="仿宋_GB2312"/>
                <w:color w:val="auto"/>
                <w:sz w:val="32"/>
                <w:szCs w:val="32"/>
                <w:lang w:eastAsia="zh-CN" w:bidi="ar-SA"/>
              </w:rPr>
              <w:t>执业年限</w:t>
            </w:r>
            <w:r>
              <w:rPr>
                <w:rFonts w:hint="eastAsia" w:ascii="仿宋_GB2312" w:hAnsi="仿宋_GB2312" w:eastAsia="仿宋_GB2312" w:cs="仿宋_GB2312"/>
                <w:color w:val="auto"/>
                <w:sz w:val="32"/>
                <w:szCs w:val="32"/>
                <w:lang w:val="en-US" w:eastAsia="zh-CN" w:bidi="ar-SA"/>
              </w:rPr>
              <w:t>十</w:t>
            </w:r>
            <w:r>
              <w:rPr>
                <w:rFonts w:hint="eastAsia" w:ascii="仿宋_GB2312" w:hAnsi="仿宋_GB2312" w:eastAsia="仿宋_GB2312" w:cs="仿宋_GB2312"/>
                <w:color w:val="auto"/>
                <w:sz w:val="32"/>
                <w:szCs w:val="32"/>
                <w:lang w:eastAsia="zh-CN" w:bidi="ar-SA"/>
              </w:rPr>
              <w:t>年以上，具有丰富的执业经验、在相关专业领域具有较强的专业能力素养，已办理执业责任保险；</w:t>
            </w:r>
            <w:r>
              <w:rPr>
                <w:rFonts w:hint="eastAsia" w:ascii="仿宋_GB2312" w:hAnsi="仿宋_GB2312" w:eastAsia="仿宋_GB2312" w:cs="仿宋_GB2312"/>
                <w:color w:val="auto"/>
                <w:sz w:val="32"/>
                <w:szCs w:val="32"/>
                <w:lang w:val="en-US" w:eastAsia="zh-CN" w:bidi="ar-SA"/>
              </w:rPr>
              <w:t>协办律师</w:t>
            </w:r>
            <w:r>
              <w:rPr>
                <w:rFonts w:hint="eastAsia" w:ascii="仿宋_GB2312" w:hAnsi="仿宋_GB2312" w:eastAsia="仿宋_GB2312" w:cs="仿宋_GB2312"/>
                <w:color w:val="auto"/>
                <w:sz w:val="32"/>
                <w:szCs w:val="32"/>
                <w:lang w:eastAsia="zh-CN" w:bidi="ar-SA"/>
              </w:rPr>
              <w:t>执业年限</w:t>
            </w:r>
            <w:r>
              <w:rPr>
                <w:rFonts w:hint="eastAsia" w:ascii="仿宋_GB2312" w:hAnsi="仿宋_GB2312" w:eastAsia="仿宋_GB2312" w:cs="仿宋_GB2312"/>
                <w:color w:val="auto"/>
                <w:sz w:val="32"/>
                <w:szCs w:val="32"/>
                <w:lang w:val="en-US" w:eastAsia="zh-CN" w:bidi="ar-SA"/>
              </w:rPr>
              <w:t>五</w:t>
            </w:r>
            <w:r>
              <w:rPr>
                <w:rFonts w:hint="eastAsia" w:ascii="仿宋_GB2312" w:hAnsi="仿宋_GB2312" w:eastAsia="仿宋_GB2312" w:cs="仿宋_GB2312"/>
                <w:color w:val="auto"/>
                <w:sz w:val="32"/>
                <w:szCs w:val="32"/>
                <w:lang w:eastAsia="zh-CN" w:bidi="ar-SA"/>
              </w:rPr>
              <w:t>年以上，具有丰富的执业经验、在相关专业领域具有较强的专业能力素养，已办理执业责任保险。</w:t>
            </w:r>
          </w:p>
        </w:tc>
        <w:tc>
          <w:tcPr>
            <w:tcW w:w="3120" w:type="dxa"/>
            <w:shd w:val="clear" w:color="auto" w:fill="auto"/>
            <w:vAlign w:val="center"/>
          </w:tcPr>
          <w:p w14:paraId="55DB18D5">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eastAsia="zh-CN" w:bidi="ar-SA"/>
              </w:rPr>
              <w:t>提供</w:t>
            </w:r>
            <w:r>
              <w:rPr>
                <w:rFonts w:hint="eastAsia" w:ascii="仿宋_GB2312" w:hAnsi="仿宋_GB2312" w:eastAsia="仿宋_GB2312" w:cs="仿宋_GB2312"/>
                <w:color w:val="auto"/>
                <w:sz w:val="32"/>
                <w:szCs w:val="32"/>
                <w:lang w:val="en-US" w:eastAsia="zh-CN" w:bidi="ar-SA"/>
              </w:rPr>
              <w:t>服务团队人员名单、执业证书、投保</w:t>
            </w:r>
            <w:r>
              <w:rPr>
                <w:rFonts w:hint="eastAsia" w:ascii="仿宋_GB2312" w:hAnsi="仿宋_GB2312" w:eastAsia="仿宋_GB2312" w:cs="仿宋_GB2312"/>
                <w:color w:val="auto"/>
                <w:sz w:val="32"/>
                <w:szCs w:val="32"/>
                <w:lang w:eastAsia="zh-CN" w:bidi="ar-SA"/>
              </w:rPr>
              <w:t>执业责任保险</w:t>
            </w:r>
            <w:r>
              <w:rPr>
                <w:rFonts w:hint="eastAsia" w:ascii="仿宋_GB2312" w:hAnsi="仿宋_GB2312" w:eastAsia="仿宋_GB2312" w:cs="仿宋_GB2312"/>
                <w:color w:val="auto"/>
                <w:sz w:val="32"/>
                <w:szCs w:val="32"/>
                <w:lang w:val="en-US" w:eastAsia="zh-CN" w:bidi="ar-SA"/>
              </w:rPr>
              <w:t>记录</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val="en-US" w:eastAsia="zh-CN" w:bidi="ar-SA"/>
              </w:rPr>
              <w:t>全国律师执业诚信信息公示平台（https://credit.acla.org.cn/）查询结果截图</w:t>
            </w:r>
            <w:r>
              <w:rPr>
                <w:rFonts w:hint="eastAsia" w:ascii="仿宋_GB2312" w:hAnsi="仿宋_GB2312" w:eastAsia="仿宋_GB2312" w:cs="仿宋_GB2312"/>
                <w:color w:val="auto"/>
                <w:sz w:val="32"/>
                <w:szCs w:val="32"/>
                <w:lang w:eastAsia="zh-CN" w:bidi="ar-SA"/>
              </w:rPr>
              <w:t>，并加盖公章</w:t>
            </w:r>
          </w:p>
        </w:tc>
      </w:tr>
    </w:tbl>
    <w:p w14:paraId="1E0CA477">
      <w:pPr>
        <w:rPr>
          <w:rFonts w:hint="eastAsia" w:ascii="仿宋_GB2312" w:hAnsi="仿宋_GB2312" w:eastAsia="仿宋_GB2312" w:cs="仿宋_GB2312"/>
          <w:b/>
          <w:bCs/>
          <w:color w:val="auto"/>
          <w:sz w:val="32"/>
          <w:szCs w:val="32"/>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5BDA09E0">
      <w:pPr>
        <w:keepNext w:val="0"/>
        <w:keepLines w:val="0"/>
        <w:pageBreakBefore w:val="0"/>
        <w:widowControl w:val="0"/>
        <w:numPr>
          <w:ilvl w:val="0"/>
          <w:numId w:val="4"/>
        </w:numPr>
        <w:kinsoku/>
        <w:wordWrap w:val="0"/>
        <w:overflowPunct w:val="0"/>
        <w:topLinePunct w:val="0"/>
        <w:autoSpaceDE/>
        <w:autoSpaceDN/>
        <w:bidi w:val="0"/>
        <w:adjustRightInd/>
        <w:snapToGrid/>
        <w:spacing w:line="560" w:lineRule="exact"/>
        <w:ind w:leftChars="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综合评审</w:t>
      </w:r>
    </w:p>
    <w:tbl>
      <w:tblPr>
        <w:tblStyle w:val="29"/>
        <w:tblW w:w="13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18"/>
        <w:gridCol w:w="1538"/>
        <w:gridCol w:w="1062"/>
        <w:gridCol w:w="669"/>
        <w:gridCol w:w="9210"/>
      </w:tblGrid>
      <w:tr w14:paraId="28435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0643E2A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w:t>
            </w:r>
          </w:p>
        </w:tc>
        <w:tc>
          <w:tcPr>
            <w:tcW w:w="1538" w:type="dxa"/>
            <w:vAlign w:val="center"/>
          </w:tcPr>
          <w:p w14:paraId="63152D95">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评分内容</w:t>
            </w:r>
          </w:p>
        </w:tc>
        <w:tc>
          <w:tcPr>
            <w:tcW w:w="1062" w:type="dxa"/>
            <w:vAlign w:val="center"/>
          </w:tcPr>
          <w:p w14:paraId="0E8ACD7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评分因素</w:t>
            </w:r>
          </w:p>
        </w:tc>
        <w:tc>
          <w:tcPr>
            <w:tcW w:w="669" w:type="dxa"/>
            <w:vAlign w:val="center"/>
          </w:tcPr>
          <w:p w14:paraId="115D555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分值</w:t>
            </w:r>
          </w:p>
        </w:tc>
        <w:tc>
          <w:tcPr>
            <w:tcW w:w="9210" w:type="dxa"/>
            <w:vAlign w:val="center"/>
          </w:tcPr>
          <w:p w14:paraId="0E2AF7C7">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评分标准</w:t>
            </w:r>
          </w:p>
        </w:tc>
      </w:tr>
      <w:tr w14:paraId="4791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5" w:hRule="atLeast"/>
          <w:jc w:val="center"/>
        </w:trPr>
        <w:tc>
          <w:tcPr>
            <w:tcW w:w="1518" w:type="dxa"/>
            <w:vMerge w:val="restart"/>
            <w:vAlign w:val="center"/>
          </w:tcPr>
          <w:p w14:paraId="23F8F967">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color w:val="auto"/>
                <w:sz w:val="32"/>
                <w:szCs w:val="32"/>
              </w:rPr>
              <w:t>商务部分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40分</w:t>
            </w:r>
            <w:r>
              <w:rPr>
                <w:rFonts w:hint="eastAsia" w:ascii="仿宋_GB2312" w:hAnsi="仿宋_GB2312" w:eastAsia="仿宋_GB2312" w:cs="仿宋_GB2312"/>
                <w:color w:val="auto"/>
                <w:sz w:val="32"/>
                <w:szCs w:val="32"/>
                <w:lang w:eastAsia="zh-CN"/>
              </w:rPr>
              <w:t>）</w:t>
            </w:r>
          </w:p>
        </w:tc>
        <w:tc>
          <w:tcPr>
            <w:tcW w:w="1538" w:type="dxa"/>
            <w:vMerge w:val="restart"/>
            <w:vAlign w:val="center"/>
          </w:tcPr>
          <w:p w14:paraId="6EB59434">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律所</w:t>
            </w:r>
            <w:r>
              <w:rPr>
                <w:rFonts w:hint="eastAsia" w:ascii="仿宋_GB2312" w:hAnsi="仿宋_GB2312" w:eastAsia="仿宋_GB2312" w:cs="仿宋_GB2312"/>
                <w:color w:val="auto"/>
                <w:sz w:val="32"/>
                <w:szCs w:val="32"/>
              </w:rPr>
              <w:t>资质（</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w:t>
            </w:r>
          </w:p>
        </w:tc>
        <w:tc>
          <w:tcPr>
            <w:tcW w:w="1062" w:type="dxa"/>
            <w:vAlign w:val="center"/>
          </w:tcPr>
          <w:p w14:paraId="328EF0F6">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highlight w:val="yellow"/>
              </w:rPr>
            </w:pPr>
            <w:r>
              <w:rPr>
                <w:rFonts w:hint="eastAsia" w:ascii="仿宋_GB2312" w:hAnsi="仿宋_GB2312" w:eastAsia="仿宋_GB2312" w:cs="仿宋_GB2312"/>
                <w:color w:val="auto"/>
                <w:sz w:val="32"/>
                <w:szCs w:val="32"/>
              </w:rPr>
              <w:t>律所</w:t>
            </w:r>
            <w:r>
              <w:rPr>
                <w:rFonts w:hint="eastAsia" w:ascii="仿宋_GB2312" w:hAnsi="仿宋_GB2312" w:eastAsia="仿宋_GB2312" w:cs="仿宋_GB2312"/>
                <w:color w:val="auto"/>
                <w:sz w:val="32"/>
                <w:szCs w:val="32"/>
                <w:lang w:val="en-US" w:eastAsia="zh-CN"/>
              </w:rPr>
              <w:t>成立时间</w:t>
            </w:r>
          </w:p>
        </w:tc>
        <w:tc>
          <w:tcPr>
            <w:tcW w:w="669" w:type="dxa"/>
            <w:vAlign w:val="center"/>
          </w:tcPr>
          <w:p w14:paraId="42BDCB41">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分</w:t>
            </w:r>
          </w:p>
        </w:tc>
        <w:tc>
          <w:tcPr>
            <w:tcW w:w="9210" w:type="dxa"/>
            <w:vAlign w:val="center"/>
          </w:tcPr>
          <w:p w14:paraId="5F7F5EB3">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律所成立时间满3年得1分；成立时间满4年得2分；成立时间满5年得3分；成立时间满6年得4分；成立时间满7年及以上得5分。（满分5分）</w:t>
            </w:r>
          </w:p>
          <w:p w14:paraId="451C062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lang w:val="en-US" w:eastAsia="zh-CN"/>
              </w:rPr>
              <w:t>注：在海南本地设立分所（独立法人）的，以分所成立时间为准。</w:t>
            </w:r>
            <w:r>
              <w:rPr>
                <w:rFonts w:hint="eastAsia" w:ascii="仿宋_GB2312" w:hAnsi="仿宋_GB2312" w:eastAsia="仿宋_GB2312" w:cs="仿宋_GB2312"/>
                <w:color w:val="auto"/>
                <w:kern w:val="2"/>
                <w:sz w:val="32"/>
                <w:szCs w:val="32"/>
                <w:lang w:val="en-US" w:eastAsia="zh-CN" w:bidi="ar-SA"/>
              </w:rPr>
              <w:t>证明材料：提供律师事务所执业许可证复印件或其他证明材料，并加盖公章。</w:t>
            </w:r>
          </w:p>
        </w:tc>
      </w:tr>
      <w:tr w14:paraId="5EF31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518" w:type="dxa"/>
            <w:vMerge w:val="continue"/>
            <w:vAlign w:val="center"/>
          </w:tcPr>
          <w:p w14:paraId="7F5FE655">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538" w:type="dxa"/>
            <w:vMerge w:val="continue"/>
            <w:vAlign w:val="center"/>
          </w:tcPr>
          <w:p w14:paraId="32E5393C">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062" w:type="dxa"/>
            <w:vMerge w:val="restart"/>
            <w:vAlign w:val="center"/>
          </w:tcPr>
          <w:p w14:paraId="46C53B4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律所</w:t>
            </w:r>
            <w:r>
              <w:rPr>
                <w:rFonts w:hint="eastAsia" w:ascii="仿宋_GB2312" w:hAnsi="仿宋_GB2312" w:eastAsia="仿宋_GB2312" w:cs="仿宋_GB2312"/>
                <w:color w:val="auto"/>
                <w:sz w:val="32"/>
                <w:szCs w:val="32"/>
                <w:lang w:val="en-US" w:eastAsia="zh-CN"/>
              </w:rPr>
              <w:t>荣誉</w:t>
            </w:r>
          </w:p>
        </w:tc>
        <w:tc>
          <w:tcPr>
            <w:tcW w:w="669" w:type="dxa"/>
            <w:vAlign w:val="center"/>
          </w:tcPr>
          <w:p w14:paraId="6708B847">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5分</w:t>
            </w:r>
          </w:p>
        </w:tc>
        <w:tc>
          <w:tcPr>
            <w:tcW w:w="9210" w:type="dxa"/>
            <w:vAlign w:val="center"/>
          </w:tcPr>
          <w:p w14:paraId="304AF31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律所近</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年获得司法部授予全国优秀律师事务所称号的，每次得5分；近</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年获得省司法厅授予五星律师事务所或优秀律师事务所称号的，每次得2.5分。</w:t>
            </w:r>
            <w:r>
              <w:rPr>
                <w:rFonts w:hint="eastAsia" w:ascii="仿宋_GB2312" w:hAnsi="仿宋_GB2312" w:eastAsia="仿宋_GB2312" w:cs="仿宋_GB2312"/>
                <w:color w:val="auto"/>
                <w:sz w:val="32"/>
                <w:szCs w:val="32"/>
                <w:lang w:val="en-US" w:eastAsia="zh-CN"/>
              </w:rPr>
              <w:t>（满分5分</w:t>
            </w:r>
            <w:r>
              <w:rPr>
                <w:rFonts w:hint="eastAsia" w:ascii="仿宋_GB2312" w:hAnsi="仿宋_GB2312" w:eastAsia="仿宋_GB2312" w:cs="仿宋_GB2312"/>
                <w:color w:val="auto"/>
                <w:sz w:val="32"/>
                <w:szCs w:val="32"/>
              </w:rPr>
              <w:t>）</w:t>
            </w:r>
          </w:p>
          <w:p w14:paraId="6CA55744">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lang w:val="en-US" w:eastAsia="zh-CN"/>
              </w:rPr>
              <w:t>证明材料：</w:t>
            </w:r>
            <w:r>
              <w:rPr>
                <w:rFonts w:hint="eastAsia" w:ascii="仿宋_GB2312" w:hAnsi="仿宋_GB2312" w:eastAsia="仿宋_GB2312" w:cs="仿宋_GB2312"/>
                <w:color w:val="auto"/>
                <w:sz w:val="32"/>
                <w:szCs w:val="32"/>
              </w:rPr>
              <w:t>提供发布的获奖公示复印件</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rPr>
              <w:t>获奖证明书等相关证明材料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bidi="ar-SA"/>
              </w:rPr>
              <w:t>并</w:t>
            </w:r>
            <w:r>
              <w:rPr>
                <w:rFonts w:hint="eastAsia" w:ascii="仿宋_GB2312" w:hAnsi="仿宋_GB2312" w:eastAsia="仿宋_GB2312" w:cs="仿宋_GB2312"/>
                <w:color w:val="auto"/>
                <w:sz w:val="32"/>
                <w:szCs w:val="32"/>
              </w:rPr>
              <w:t>加盖公章</w:t>
            </w:r>
            <w:r>
              <w:rPr>
                <w:rFonts w:hint="eastAsia" w:ascii="仿宋_GB2312" w:hAnsi="仿宋_GB2312" w:eastAsia="仿宋_GB2312" w:cs="仿宋_GB2312"/>
                <w:color w:val="auto"/>
                <w:sz w:val="32"/>
                <w:szCs w:val="32"/>
                <w:lang w:eastAsia="zh-CN"/>
              </w:rPr>
              <w:t>。</w:t>
            </w:r>
          </w:p>
        </w:tc>
      </w:tr>
      <w:tr w14:paraId="24BA1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518" w:type="dxa"/>
            <w:vMerge w:val="continue"/>
            <w:vAlign w:val="center"/>
          </w:tcPr>
          <w:p w14:paraId="39315313">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538" w:type="dxa"/>
            <w:vMerge w:val="continue"/>
            <w:vAlign w:val="center"/>
          </w:tcPr>
          <w:p w14:paraId="028FE219">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062" w:type="dxa"/>
            <w:vMerge w:val="continue"/>
            <w:vAlign w:val="center"/>
          </w:tcPr>
          <w:p w14:paraId="1253EF33">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color w:val="auto"/>
                <w:sz w:val="32"/>
                <w:szCs w:val="32"/>
                <w:highlight w:val="yellow"/>
              </w:rPr>
            </w:pPr>
          </w:p>
        </w:tc>
        <w:tc>
          <w:tcPr>
            <w:tcW w:w="669" w:type="dxa"/>
            <w:vAlign w:val="center"/>
          </w:tcPr>
          <w:p w14:paraId="3BBC669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5分</w:t>
            </w:r>
          </w:p>
        </w:tc>
        <w:tc>
          <w:tcPr>
            <w:tcW w:w="9210" w:type="dxa"/>
            <w:vAlign w:val="center"/>
          </w:tcPr>
          <w:p w14:paraId="3A58A82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律所被海南省高级人民法院列入“破产管理人”名录的，得5分。（满分5分）</w:t>
            </w:r>
          </w:p>
        </w:tc>
      </w:tr>
      <w:tr w14:paraId="2D5E7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Merge w:val="continue"/>
            <w:vAlign w:val="center"/>
          </w:tcPr>
          <w:p w14:paraId="32F7F40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538" w:type="dxa"/>
            <w:vMerge w:val="restart"/>
            <w:vAlign w:val="center"/>
          </w:tcPr>
          <w:p w14:paraId="7E782AC2">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服务团队（</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分）</w:t>
            </w:r>
          </w:p>
        </w:tc>
        <w:tc>
          <w:tcPr>
            <w:tcW w:w="1062" w:type="dxa"/>
            <w:vAlign w:val="center"/>
          </w:tcPr>
          <w:p w14:paraId="2209E651">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主办律师</w:t>
            </w:r>
          </w:p>
        </w:tc>
        <w:tc>
          <w:tcPr>
            <w:tcW w:w="669" w:type="dxa"/>
            <w:vAlign w:val="center"/>
          </w:tcPr>
          <w:p w14:paraId="5CE97E1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分</w:t>
            </w:r>
          </w:p>
        </w:tc>
        <w:tc>
          <w:tcPr>
            <w:tcW w:w="9210" w:type="dxa"/>
            <w:vAlign w:val="center"/>
          </w:tcPr>
          <w:p w14:paraId="3BFCD5D6">
            <w:pPr>
              <w:keepNext w:val="0"/>
              <w:keepLines w:val="0"/>
              <w:pageBreakBefore w:val="0"/>
              <w:widowControl w:val="0"/>
              <w:numPr>
                <w:ilvl w:val="-1"/>
                <w:numId w:val="0"/>
              </w:numPr>
              <w:kinsoku/>
              <w:wordWrap w:val="0"/>
              <w:overflowPunct w:val="0"/>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1.主办律师具有20年以上法律工作经验，得5分；具有16-20年法律工作经验的，得4分；主办律师具有13-15年法律工作经验的，得3分；主办律师具有10-12年法律工作经验的，得2分。（满分5分</w:t>
            </w:r>
            <w:r>
              <w:rPr>
                <w:rFonts w:hint="eastAsia" w:ascii="仿宋_GB2312" w:hAnsi="仿宋_GB2312" w:eastAsia="仿宋_GB2312" w:cs="仿宋_GB2312"/>
                <w:color w:val="auto"/>
                <w:sz w:val="32"/>
                <w:szCs w:val="32"/>
              </w:rPr>
              <w:t>）</w:t>
            </w:r>
          </w:p>
          <w:p w14:paraId="06597358">
            <w:pPr>
              <w:keepNext w:val="0"/>
              <w:keepLines w:val="0"/>
              <w:pageBreakBefore w:val="0"/>
              <w:widowControl w:val="0"/>
              <w:numPr>
                <w:ilvl w:val="-1"/>
                <w:numId w:val="0"/>
              </w:numPr>
              <w:kinsoku/>
              <w:wordWrap w:val="0"/>
              <w:overflowPunct w:val="0"/>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证明材料：</w:t>
            </w: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相关证明材料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bidi="ar-SA"/>
              </w:rPr>
              <w:t>并</w:t>
            </w:r>
            <w:r>
              <w:rPr>
                <w:rFonts w:hint="eastAsia" w:ascii="仿宋_GB2312" w:hAnsi="仿宋_GB2312" w:eastAsia="仿宋_GB2312" w:cs="仿宋_GB2312"/>
                <w:color w:val="auto"/>
                <w:sz w:val="32"/>
                <w:szCs w:val="32"/>
              </w:rPr>
              <w:t>加盖公章</w:t>
            </w:r>
            <w:r>
              <w:rPr>
                <w:rFonts w:hint="eastAsia" w:ascii="仿宋_GB2312" w:hAnsi="仿宋_GB2312" w:eastAsia="仿宋_GB2312" w:cs="仿宋_GB2312"/>
                <w:color w:val="auto"/>
                <w:sz w:val="32"/>
                <w:szCs w:val="32"/>
                <w:lang w:eastAsia="zh-CN"/>
              </w:rPr>
              <w:t>。</w:t>
            </w:r>
          </w:p>
          <w:p w14:paraId="15B51D9C">
            <w:pPr>
              <w:keepNext w:val="0"/>
              <w:keepLines w:val="0"/>
              <w:pageBreakBefore w:val="0"/>
              <w:widowControl w:val="0"/>
              <w:numPr>
                <w:ilvl w:val="-1"/>
                <w:numId w:val="0"/>
              </w:numPr>
              <w:kinsoku/>
              <w:wordWrap w:val="0"/>
              <w:overflowPunct w:val="0"/>
              <w:topLinePunct w:val="0"/>
              <w:autoSpaceDE/>
              <w:autoSpaceDN/>
              <w:bidi w:val="0"/>
              <w:adjustRightInd/>
              <w:snapToGrid/>
              <w:spacing w:line="500" w:lineRule="exact"/>
              <w:ind w:left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2.主办律师为全国或省级律协专业委员会主委，得5分；为全国或省级律协专业委员会副主委，得2.5分；主办律师为律师事务所主任，得5分；为律师事务所副主任，得2.5分。（满分5分</w:t>
            </w:r>
            <w:r>
              <w:rPr>
                <w:rFonts w:hint="eastAsia" w:ascii="仿宋_GB2312" w:hAnsi="仿宋_GB2312" w:eastAsia="仿宋_GB2312" w:cs="仿宋_GB2312"/>
                <w:color w:val="auto"/>
                <w:sz w:val="32"/>
                <w:szCs w:val="32"/>
              </w:rPr>
              <w:t>）</w:t>
            </w:r>
          </w:p>
          <w:p w14:paraId="6D977E19">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证明材料：</w:t>
            </w:r>
            <w:r>
              <w:rPr>
                <w:rFonts w:hint="eastAsia" w:ascii="仿宋_GB2312" w:hAnsi="仿宋_GB2312" w:eastAsia="仿宋_GB2312" w:cs="仿宋_GB2312"/>
                <w:color w:val="auto"/>
                <w:sz w:val="32"/>
                <w:szCs w:val="32"/>
                <w:lang w:val="en-US" w:eastAsia="zh-CN"/>
              </w:rPr>
              <w:t>提供相关证明材料，并加盖公章。</w:t>
            </w:r>
          </w:p>
        </w:tc>
      </w:tr>
      <w:tr w14:paraId="1E390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Merge w:val="continue"/>
            <w:vAlign w:val="center"/>
          </w:tcPr>
          <w:p w14:paraId="3E58B75A">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538" w:type="dxa"/>
            <w:vMerge w:val="continue"/>
            <w:vAlign w:val="center"/>
          </w:tcPr>
          <w:p w14:paraId="7E2580F8">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062" w:type="dxa"/>
            <w:vAlign w:val="center"/>
          </w:tcPr>
          <w:p w14:paraId="3DA5B787">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rPr>
            </w:pPr>
            <w:r>
              <w:rPr>
                <w:rFonts w:hint="eastAsia" w:ascii="仿宋_GB2312" w:hAnsi="仿宋_GB2312" w:eastAsia="仿宋_GB2312" w:cs="仿宋_GB2312"/>
                <w:color w:val="auto"/>
                <w:sz w:val="32"/>
                <w:szCs w:val="32"/>
                <w:lang w:val="en-US" w:eastAsia="zh-CN"/>
              </w:rPr>
              <w:t>经验及业绩</w:t>
            </w:r>
          </w:p>
        </w:tc>
        <w:tc>
          <w:tcPr>
            <w:tcW w:w="669" w:type="dxa"/>
            <w:vAlign w:val="center"/>
          </w:tcPr>
          <w:p w14:paraId="22C21F65">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w:t>
            </w:r>
          </w:p>
        </w:tc>
        <w:tc>
          <w:tcPr>
            <w:tcW w:w="9210" w:type="dxa"/>
            <w:vAlign w:val="center"/>
          </w:tcPr>
          <w:p w14:paraId="75E430CA">
            <w:pPr>
              <w:keepNext w:val="0"/>
              <w:keepLines w:val="0"/>
              <w:pageBreakBefore w:val="0"/>
              <w:widowControl w:val="0"/>
              <w:numPr>
                <w:ilvl w:val="-1"/>
                <w:numId w:val="0"/>
              </w:numPr>
              <w:kinsoku/>
              <w:wordWrap w:val="0"/>
              <w:overflowPunct w:val="0"/>
              <w:topLinePunct w:val="0"/>
              <w:autoSpaceDE/>
              <w:autoSpaceDN/>
              <w:bidi w:val="0"/>
              <w:adjustRightInd/>
              <w:snapToGrid/>
              <w:spacing w:line="500" w:lineRule="exact"/>
              <w:ind w:leftChars="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1.自2022</w:t>
            </w:r>
            <w:r>
              <w:rPr>
                <w:rFonts w:hint="eastAsia" w:ascii="仿宋_GB2312" w:hAnsi="仿宋_GB2312" w:eastAsia="仿宋_GB2312" w:cs="仿宋_GB2312"/>
                <w:color w:val="auto"/>
                <w:sz w:val="32"/>
                <w:szCs w:val="32"/>
              </w:rPr>
              <w:t>年1月1日至今，为央企或省分公司/省重点监管企业/县处级以上机关单位提供常年法律顾问服务，按服务合同份数计算，一份得1分。（满分5分）</w:t>
            </w:r>
          </w:p>
          <w:p w14:paraId="21AF561F">
            <w:pPr>
              <w:keepNext w:val="0"/>
              <w:keepLines w:val="0"/>
              <w:pageBreakBefore w:val="0"/>
              <w:widowControl w:val="0"/>
              <w:numPr>
                <w:ilvl w:val="-1"/>
                <w:numId w:val="0"/>
              </w:numPr>
              <w:kinsoku/>
              <w:wordWrap w:val="0"/>
              <w:overflowPunct w:val="0"/>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证明材料：</w:t>
            </w: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服务团队</w:t>
            </w:r>
            <w:r>
              <w:rPr>
                <w:rFonts w:hint="eastAsia" w:ascii="仿宋_GB2312" w:hAnsi="仿宋_GB2312" w:eastAsia="仿宋_GB2312" w:cs="仿宋_GB2312"/>
                <w:color w:val="auto"/>
                <w:sz w:val="32"/>
                <w:szCs w:val="32"/>
              </w:rPr>
              <w:t>常年法律顾问合同复印件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bidi="ar-SA"/>
              </w:rPr>
              <w:t>并</w:t>
            </w:r>
            <w:r>
              <w:rPr>
                <w:rFonts w:hint="eastAsia" w:ascii="仿宋_GB2312" w:hAnsi="仿宋_GB2312" w:eastAsia="仿宋_GB2312" w:cs="仿宋_GB2312"/>
                <w:color w:val="auto"/>
                <w:sz w:val="32"/>
                <w:szCs w:val="32"/>
              </w:rPr>
              <w:t>加盖公章</w:t>
            </w:r>
            <w:r>
              <w:rPr>
                <w:rFonts w:hint="eastAsia" w:ascii="仿宋_GB2312" w:hAnsi="仿宋_GB2312" w:eastAsia="仿宋_GB2312" w:cs="仿宋_GB2312"/>
                <w:color w:val="auto"/>
                <w:sz w:val="32"/>
                <w:szCs w:val="32"/>
                <w:lang w:eastAsia="zh-CN"/>
              </w:rPr>
              <w:t>。</w:t>
            </w:r>
          </w:p>
          <w:p w14:paraId="6AA534A0">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2.自2022年1月1日至今，为国有企业合规体系建设、</w:t>
            </w:r>
            <w:r>
              <w:rPr>
                <w:rFonts w:hint="eastAsia" w:ascii="仿宋_GB2312" w:hAnsi="仿宋_GB2312" w:eastAsia="仿宋_GB2312" w:cs="仿宋_GB2312"/>
                <w:color w:val="auto"/>
                <w:sz w:val="32"/>
                <w:szCs w:val="32"/>
                <w:lang w:val="en-US" w:eastAsia="zh-CN"/>
              </w:rPr>
              <w:t>国有资产管理、</w:t>
            </w:r>
            <w:r>
              <w:rPr>
                <w:rFonts w:hint="eastAsia" w:ascii="仿宋_GB2312" w:hAnsi="仿宋_GB2312" w:eastAsia="仿宋_GB2312" w:cs="仿宋_GB2312"/>
                <w:color w:val="auto"/>
                <w:sz w:val="32"/>
                <w:szCs w:val="32"/>
              </w:rPr>
              <w:t>不良资产处置、企业破产重整、</w:t>
            </w:r>
            <w:r>
              <w:rPr>
                <w:rFonts w:hint="eastAsia" w:ascii="仿宋_GB2312" w:hAnsi="仿宋_GB2312" w:eastAsia="仿宋_GB2312" w:cs="仿宋_GB2312"/>
                <w:color w:val="auto"/>
                <w:sz w:val="32"/>
                <w:szCs w:val="32"/>
                <w:lang w:val="en-US" w:eastAsia="zh-CN"/>
              </w:rPr>
              <w:t>并购重组</w:t>
            </w:r>
            <w:r>
              <w:rPr>
                <w:rFonts w:hint="eastAsia" w:ascii="仿宋_GB2312" w:hAnsi="仿宋_GB2312" w:eastAsia="仿宋_GB2312" w:cs="仿宋_GB2312"/>
                <w:color w:val="auto"/>
                <w:sz w:val="32"/>
                <w:szCs w:val="32"/>
              </w:rPr>
              <w:t>等提供专项法律服务，按服务合同份数计算，一份得1分。（满分</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分）（不包含常年法律顾问服务）</w:t>
            </w:r>
          </w:p>
          <w:p w14:paraId="41B9B3BA">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证明材料：</w:t>
            </w:r>
          </w:p>
          <w:p w14:paraId="38D7A8C0">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服务团队</w:t>
            </w:r>
            <w:r>
              <w:rPr>
                <w:rFonts w:hint="eastAsia" w:ascii="仿宋_GB2312" w:hAnsi="仿宋_GB2312" w:eastAsia="仿宋_GB2312" w:cs="仿宋_GB2312"/>
                <w:color w:val="auto"/>
                <w:sz w:val="32"/>
                <w:szCs w:val="32"/>
              </w:rPr>
              <w:t>律师参与上述法律服务的专项法律服务合同、判决书或其他盖章证明材料等文件作为业绩证明材料。（复印件，加盖公章）</w:t>
            </w:r>
          </w:p>
        </w:tc>
      </w:tr>
      <w:tr w14:paraId="2EFDE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499A8496">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技术</w:t>
            </w:r>
            <w:r>
              <w:rPr>
                <w:rFonts w:hint="eastAsia" w:ascii="仿宋_GB2312" w:hAnsi="仿宋_GB2312" w:eastAsia="仿宋_GB2312" w:cs="仿宋_GB2312"/>
                <w:color w:val="auto"/>
                <w:sz w:val="32"/>
                <w:szCs w:val="32"/>
                <w:lang w:val="en-US" w:eastAsia="zh-CN"/>
              </w:rPr>
              <w:t>部分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w:t>
            </w:r>
          </w:p>
        </w:tc>
        <w:tc>
          <w:tcPr>
            <w:tcW w:w="1538" w:type="dxa"/>
            <w:vAlign w:val="center"/>
          </w:tcPr>
          <w:p w14:paraId="34E3D2B8">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bidi="ar"/>
              </w:rPr>
              <w:t>服务方案</w:t>
            </w:r>
          </w:p>
        </w:tc>
        <w:tc>
          <w:tcPr>
            <w:tcW w:w="1062" w:type="dxa"/>
            <w:vAlign w:val="center"/>
          </w:tcPr>
          <w:p w14:paraId="08110D5B">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w:t>
            </w:r>
          </w:p>
        </w:tc>
        <w:tc>
          <w:tcPr>
            <w:tcW w:w="669" w:type="dxa"/>
            <w:vAlign w:val="center"/>
          </w:tcPr>
          <w:p w14:paraId="2653DD1C">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30分</w:t>
            </w:r>
          </w:p>
        </w:tc>
        <w:tc>
          <w:tcPr>
            <w:tcW w:w="9210" w:type="dxa"/>
            <w:vAlign w:val="center"/>
          </w:tcPr>
          <w:p w14:paraId="189972EE">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律所</w:t>
            </w:r>
            <w:r>
              <w:rPr>
                <w:rFonts w:hint="eastAsia" w:ascii="仿宋_GB2312" w:hAnsi="仿宋_GB2312" w:eastAsia="仿宋_GB2312" w:cs="仿宋_GB2312"/>
                <w:color w:val="auto"/>
                <w:sz w:val="32"/>
                <w:szCs w:val="32"/>
              </w:rPr>
              <w:t>应根据</w:t>
            </w:r>
            <w:r>
              <w:rPr>
                <w:rFonts w:hint="eastAsia" w:ascii="仿宋_GB2312" w:hAnsi="仿宋_GB2312" w:eastAsia="仿宋_GB2312" w:cs="仿宋_GB2312"/>
                <w:color w:val="auto"/>
                <w:sz w:val="32"/>
                <w:szCs w:val="32"/>
                <w:lang w:val="en-US" w:eastAsia="zh-CN"/>
              </w:rPr>
              <w:t>公司经营</w:t>
            </w:r>
            <w:r>
              <w:rPr>
                <w:rFonts w:hint="eastAsia" w:ascii="仿宋_GB2312" w:hAnsi="仿宋_GB2312" w:eastAsia="仿宋_GB2312" w:cs="仿宋_GB2312"/>
                <w:color w:val="auto"/>
                <w:sz w:val="32"/>
                <w:szCs w:val="32"/>
              </w:rPr>
              <w:t>特点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重点从</w:t>
            </w:r>
            <w:r>
              <w:rPr>
                <w:rFonts w:hint="eastAsia" w:ascii="仿宋_GB2312" w:hAnsi="仿宋_GB2312" w:eastAsia="仿宋_GB2312" w:cs="仿宋_GB2312"/>
                <w:color w:val="auto"/>
                <w:sz w:val="32"/>
                <w:szCs w:val="32"/>
              </w:rPr>
              <w:t>服务方式</w:t>
            </w:r>
            <w:r>
              <w:rPr>
                <w:rFonts w:hint="eastAsia" w:ascii="仿宋_GB2312" w:hAnsi="仿宋_GB2312" w:eastAsia="仿宋_GB2312" w:cs="仿宋_GB2312"/>
                <w:color w:val="auto"/>
                <w:sz w:val="32"/>
                <w:szCs w:val="32"/>
                <w:lang w:val="en-US" w:eastAsia="zh-CN"/>
              </w:rPr>
              <w:t>和内容、</w:t>
            </w:r>
            <w:r>
              <w:rPr>
                <w:rFonts w:hint="eastAsia" w:ascii="仿宋_GB2312" w:hAnsi="仿宋_GB2312" w:eastAsia="仿宋_GB2312" w:cs="仿宋_GB2312"/>
                <w:color w:val="auto"/>
                <w:sz w:val="32"/>
                <w:szCs w:val="32"/>
              </w:rPr>
              <w:t>工作思路、</w:t>
            </w:r>
            <w:r>
              <w:rPr>
                <w:rFonts w:hint="eastAsia" w:ascii="仿宋_GB2312" w:hAnsi="仿宋_GB2312" w:eastAsia="仿宋_GB2312" w:cs="仿宋_GB2312"/>
                <w:color w:val="auto"/>
                <w:sz w:val="32"/>
                <w:szCs w:val="32"/>
                <w:lang w:val="en-US" w:eastAsia="zh-CN"/>
              </w:rPr>
              <w:t>合规风控、</w:t>
            </w:r>
            <w:r>
              <w:rPr>
                <w:rFonts w:hint="eastAsia" w:ascii="仿宋_GB2312" w:hAnsi="仿宋_GB2312" w:eastAsia="仿宋_GB2312" w:cs="仿宋_GB2312"/>
                <w:color w:val="auto"/>
                <w:sz w:val="32"/>
                <w:szCs w:val="32"/>
              </w:rPr>
              <w:t>沟通交流机制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响应时间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保密应急等</w:t>
            </w:r>
            <w:r>
              <w:rPr>
                <w:rFonts w:hint="eastAsia" w:ascii="仿宋_GB2312" w:hAnsi="仿宋_GB2312" w:eastAsia="仿宋_GB2312" w:cs="仿宋_GB2312"/>
                <w:color w:val="auto"/>
                <w:sz w:val="32"/>
                <w:szCs w:val="32"/>
              </w:rPr>
              <w:t>方面</w:t>
            </w:r>
            <w:r>
              <w:rPr>
                <w:rFonts w:hint="eastAsia" w:ascii="仿宋_GB2312" w:hAnsi="仿宋_GB2312" w:eastAsia="仿宋_GB2312" w:cs="仿宋_GB2312"/>
                <w:color w:val="auto"/>
                <w:sz w:val="32"/>
                <w:szCs w:val="32"/>
                <w:lang w:val="en-US" w:eastAsia="zh-CN"/>
              </w:rPr>
              <w:t>考量</w:t>
            </w:r>
            <w:r>
              <w:rPr>
                <w:rFonts w:hint="eastAsia" w:ascii="仿宋_GB2312" w:hAnsi="仿宋_GB2312" w:eastAsia="仿宋_GB2312" w:cs="仿宋_GB2312"/>
                <w:color w:val="auto"/>
                <w:sz w:val="32"/>
                <w:szCs w:val="32"/>
              </w:rPr>
              <w:t>，提供完整的服务方案</w:t>
            </w:r>
            <w:r>
              <w:rPr>
                <w:rFonts w:hint="eastAsia" w:ascii="仿宋_GB2312" w:hAnsi="仿宋_GB2312" w:eastAsia="仿宋_GB2312" w:cs="仿宋_GB2312"/>
                <w:color w:val="auto"/>
                <w:sz w:val="32"/>
                <w:szCs w:val="32"/>
                <w:lang w:eastAsia="zh-CN"/>
              </w:rPr>
              <w:t>。</w:t>
            </w:r>
          </w:p>
          <w:p w14:paraId="549B6FEC">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律所</w:t>
            </w:r>
            <w:r>
              <w:rPr>
                <w:rFonts w:hint="eastAsia" w:ascii="仿宋_GB2312" w:hAnsi="仿宋_GB2312" w:eastAsia="仿宋_GB2312" w:cs="仿宋_GB2312"/>
                <w:color w:val="auto"/>
                <w:sz w:val="32"/>
                <w:szCs w:val="32"/>
              </w:rPr>
              <w:t>提供的服务方案进行横向对比打分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分</w:t>
            </w:r>
            <w:r>
              <w:rPr>
                <w:rFonts w:hint="eastAsia" w:ascii="仿宋_GB2312" w:hAnsi="仿宋_GB2312" w:eastAsia="仿宋_GB2312" w:cs="仿宋_GB2312"/>
                <w:color w:val="000000"/>
                <w:kern w:val="0"/>
                <w:sz w:val="32"/>
                <w:szCs w:val="32"/>
                <w:lang w:val="en-US" w:eastAsia="zh-CN" w:bidi="ar"/>
              </w:rPr>
              <w:t xml:space="preserve">档评分：优得 </w:t>
            </w:r>
            <w:r>
              <w:rPr>
                <w:rFonts w:hint="eastAsia" w:ascii="仿宋_GB2312" w:hAnsi="仿宋_GB2312" w:eastAsia="仿宋_GB2312" w:cs="仿宋_GB2312"/>
                <w:color w:val="auto"/>
                <w:sz w:val="32"/>
                <w:szCs w:val="32"/>
                <w:lang w:val="en-US" w:eastAsia="zh-CN"/>
              </w:rPr>
              <w:t>30-2</w:t>
            </w: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000000"/>
                <w:kern w:val="0"/>
                <w:sz w:val="32"/>
                <w:szCs w:val="32"/>
                <w:lang w:val="en-US" w:eastAsia="zh-CN" w:bidi="ar"/>
              </w:rPr>
              <w:t xml:space="preserve">；良得 </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 xml:space="preserve">16 </w:t>
            </w:r>
            <w:r>
              <w:rPr>
                <w:rFonts w:hint="eastAsia" w:ascii="仿宋_GB2312" w:hAnsi="仿宋_GB2312" w:eastAsia="仿宋_GB2312" w:cs="仿宋_GB2312"/>
                <w:color w:val="000000"/>
                <w:kern w:val="0"/>
                <w:sz w:val="32"/>
                <w:szCs w:val="32"/>
                <w:lang w:val="en-US" w:eastAsia="zh-CN" w:bidi="ar"/>
              </w:rPr>
              <w:t xml:space="preserve">分；一般得 </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000000"/>
                <w:kern w:val="0"/>
                <w:sz w:val="32"/>
                <w:szCs w:val="32"/>
                <w:lang w:val="en-US" w:eastAsia="zh-CN" w:bidi="ar"/>
              </w:rPr>
              <w:t>分。（满分 30 分）</w:t>
            </w:r>
          </w:p>
        </w:tc>
      </w:tr>
      <w:tr w14:paraId="225E6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7928B89B">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价格部分（30分）</w:t>
            </w:r>
          </w:p>
        </w:tc>
        <w:tc>
          <w:tcPr>
            <w:tcW w:w="1538" w:type="dxa"/>
            <w:vAlign w:val="center"/>
          </w:tcPr>
          <w:p w14:paraId="2FDA1E6A">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服务报价</w:t>
            </w:r>
          </w:p>
        </w:tc>
        <w:tc>
          <w:tcPr>
            <w:tcW w:w="1062" w:type="dxa"/>
            <w:vAlign w:val="center"/>
          </w:tcPr>
          <w:p w14:paraId="31A6B5E2">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color w:val="auto"/>
                <w:sz w:val="32"/>
                <w:szCs w:val="32"/>
                <w:lang w:val="en-US" w:eastAsia="zh-CN"/>
              </w:rPr>
              <w:t>/</w:t>
            </w:r>
          </w:p>
        </w:tc>
        <w:tc>
          <w:tcPr>
            <w:tcW w:w="669" w:type="dxa"/>
            <w:vAlign w:val="center"/>
          </w:tcPr>
          <w:p w14:paraId="24035765">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30分</w:t>
            </w:r>
          </w:p>
        </w:tc>
        <w:tc>
          <w:tcPr>
            <w:tcW w:w="9210" w:type="dxa"/>
            <w:vAlign w:val="center"/>
          </w:tcPr>
          <w:p w14:paraId="54E82741">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采用低价优先法计算报价得分，即满足比选文件要求且服务报价最低的参选报价为基准价，报价</w:t>
            </w:r>
            <w:r>
              <w:rPr>
                <w:rFonts w:hint="eastAsia" w:ascii="仿宋_GB2312" w:hAnsi="仿宋_GB2312" w:eastAsia="仿宋_GB2312" w:cs="仿宋_GB2312"/>
                <w:color w:val="000000"/>
                <w:kern w:val="0"/>
                <w:sz w:val="32"/>
                <w:szCs w:val="32"/>
                <w:lang w:val="en-US" w:eastAsia="zh-CN" w:bidi="ar"/>
              </w:rPr>
              <w:t>满</w:t>
            </w:r>
            <w:r>
              <w:rPr>
                <w:rFonts w:hint="eastAsia" w:ascii="仿宋_GB2312" w:hAnsi="仿宋_GB2312" w:eastAsia="仿宋_GB2312" w:cs="仿宋_GB2312"/>
                <w:color w:val="auto"/>
                <w:sz w:val="32"/>
                <w:szCs w:val="32"/>
                <w:lang w:val="en-US" w:eastAsia="zh-CN"/>
              </w:rPr>
              <w:t>分为30分。</w:t>
            </w:r>
          </w:p>
          <w:p w14:paraId="646A748E">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 xml:space="preserve">计算公式为：报价得分=（基准价/参选报价） </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auto"/>
                <w:sz w:val="32"/>
                <w:szCs w:val="32"/>
                <w:lang w:val="en-US" w:eastAsia="zh-CN"/>
              </w:rPr>
              <w:t xml:space="preserve"> 报价权重值30% </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auto"/>
                <w:sz w:val="32"/>
                <w:szCs w:val="32"/>
                <w:lang w:val="en-US" w:eastAsia="zh-CN"/>
              </w:rPr>
              <w:t xml:space="preserve"> 100。</w:t>
            </w:r>
          </w:p>
        </w:tc>
      </w:tr>
    </w:tbl>
    <w:p w14:paraId="2225273B">
      <w:pPr>
        <w:rPr>
          <w:rFonts w:hint="eastAsia" w:ascii="宋体" w:hAnsi="宋体"/>
          <w:color w:val="auto"/>
          <w:sz w:val="36"/>
          <w:szCs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35FCBCE2">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19" w:name="_Toc3953"/>
      <w:r>
        <w:rPr>
          <w:rFonts w:hint="eastAsia" w:ascii="黑体" w:hAnsi="黑体" w:eastAsia="黑体" w:cs="黑体"/>
          <w:b w:val="0"/>
          <w:bCs w:val="0"/>
          <w:color w:val="auto"/>
          <w:lang w:val="en-US" w:eastAsia="zh-CN"/>
        </w:rPr>
        <w:t>第四章</w:t>
      </w:r>
      <w:bookmarkEnd w:id="17"/>
      <w:bookmarkStart w:id="20" w:name="_Toc7859"/>
      <w:r>
        <w:rPr>
          <w:rFonts w:hint="eastAsia" w:ascii="黑体" w:hAnsi="黑体" w:eastAsia="黑体" w:cs="黑体"/>
          <w:b w:val="0"/>
          <w:bCs w:val="0"/>
          <w:color w:val="auto"/>
          <w:lang w:val="en-US" w:eastAsia="zh-CN"/>
        </w:rPr>
        <w:t xml:space="preserve"> 服务合同文本</w:t>
      </w:r>
      <w:bookmarkEnd w:id="18"/>
      <w:bookmarkEnd w:id="19"/>
    </w:p>
    <w:p w14:paraId="715F6AA9">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3A388D61">
      <w:pPr>
        <w:keepNext w:val="0"/>
        <w:keepLines w:val="0"/>
        <w:pageBreakBefore w:val="0"/>
        <w:widowControl w:val="0"/>
        <w:kinsoku/>
        <w:wordWrap w:val="0"/>
        <w:overflowPunct w:val="0"/>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聘请常年法律顾问合同</w:t>
      </w:r>
    </w:p>
    <w:p w14:paraId="70BF4967">
      <w:pPr>
        <w:keepNext w:val="0"/>
        <w:keepLines w:val="0"/>
        <w:pageBreakBefore w:val="0"/>
        <w:widowControl w:val="0"/>
        <w:kinsoku/>
        <w:wordWrap w:val="0"/>
        <w:overflowPunct w:val="0"/>
        <w:topLinePunct w:val="0"/>
        <w:bidi w:val="0"/>
        <w:adjustRightInd/>
        <w:spacing w:line="560" w:lineRule="exact"/>
        <w:ind w:left="0"/>
        <w:jc w:val="both"/>
        <w:textAlignment w:val="auto"/>
        <w:rPr>
          <w:rFonts w:hint="eastAsia" w:ascii="仿宋_GB2312" w:hAnsi="仿宋_GB2312" w:eastAsia="仿宋_GB2312" w:cs="仿宋_GB2312"/>
          <w:color w:val="auto"/>
          <w:sz w:val="32"/>
          <w:szCs w:val="32"/>
        </w:rPr>
      </w:pPr>
    </w:p>
    <w:p w14:paraId="75AA26E5">
      <w:pPr>
        <w:keepNext w:val="0"/>
        <w:keepLines w:val="0"/>
        <w:pageBreakBefore w:val="0"/>
        <w:widowControl w:val="0"/>
        <w:tabs>
          <w:tab w:val="left" w:pos="6148"/>
          <w:tab w:val="left" w:pos="7893"/>
          <w:tab w:val="left" w:pos="8800"/>
        </w:tabs>
        <w:kinsoku/>
        <w:wordWrap w:val="0"/>
        <w:overflowPunct w:val="0"/>
        <w:topLinePunct w:val="0"/>
        <w:bidi w:val="0"/>
        <w:adjustRightInd/>
        <w:spacing w:line="560" w:lineRule="exact"/>
        <w:ind w:left="0" w:right="0" w:firstLine="0"/>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合同编号：</w:t>
      </w:r>
      <w:r>
        <w:rPr>
          <w:rFonts w:hint="eastAsia" w:ascii="仿宋_GB2312" w:hAnsi="仿宋_GB2312" w:eastAsia="仿宋_GB2312" w:cs="仿宋_GB2312"/>
          <w:color w:val="auto"/>
          <w:sz w:val="32"/>
          <w:szCs w:val="32"/>
          <w:lang w:val="en-US" w:eastAsia="zh-CN"/>
        </w:rPr>
        <w:t xml:space="preserve">                </w:t>
      </w:r>
    </w:p>
    <w:p w14:paraId="198F1BF0">
      <w:pPr>
        <w:keepNext w:val="0"/>
        <w:keepLines w:val="0"/>
        <w:pageBreakBefore w:val="0"/>
        <w:widowControl w:val="0"/>
        <w:kinsoku/>
        <w:wordWrap w:val="0"/>
        <w:overflowPunct w:val="0"/>
        <w:topLinePunct w:val="0"/>
        <w:bidi w:val="0"/>
        <w:adjustRightInd/>
        <w:spacing w:line="560" w:lineRule="exact"/>
        <w:ind w:left="0"/>
        <w:jc w:val="both"/>
        <w:textAlignment w:val="auto"/>
        <w:rPr>
          <w:rFonts w:hint="eastAsia" w:ascii="仿宋_GB2312" w:hAnsi="仿宋_GB2312" w:eastAsia="仿宋_GB2312" w:cs="仿宋_GB2312"/>
          <w:color w:val="auto"/>
          <w:sz w:val="32"/>
          <w:szCs w:val="32"/>
        </w:rPr>
      </w:pPr>
    </w:p>
    <w:p w14:paraId="6709EAFF">
      <w:pPr>
        <w:keepNext w:val="0"/>
        <w:keepLines w:val="0"/>
        <w:pageBreakBefore w:val="0"/>
        <w:widowControl w:val="0"/>
        <w:kinsoku/>
        <w:wordWrap w:val="0"/>
        <w:overflowPunct w:val="0"/>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聘请方（甲方）：海南联合资产管理有限公司</w:t>
      </w:r>
    </w:p>
    <w:p w14:paraId="2F1140FA">
      <w:pPr>
        <w:keepNext w:val="0"/>
        <w:keepLines w:val="0"/>
        <w:pageBreakBefore w:val="0"/>
        <w:widowControl w:val="0"/>
        <w:kinsoku/>
        <w:wordWrap w:val="0"/>
        <w:overflowPunct w:val="0"/>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受聘方（乙方）：</w:t>
      </w:r>
    </w:p>
    <w:p w14:paraId="62818BD5">
      <w:pPr>
        <w:keepNext w:val="0"/>
        <w:keepLines w:val="0"/>
        <w:pageBreakBefore w:val="0"/>
        <w:widowControl w:val="0"/>
        <w:kinsoku/>
        <w:wordWrap w:val="0"/>
        <w:overflowPunct w:val="0"/>
        <w:topLinePunct w:val="0"/>
        <w:autoSpaceDE/>
        <w:autoSpaceDN/>
        <w:bidi w:val="0"/>
        <w:adjustRightInd/>
        <w:snapToGrid w:val="0"/>
        <w:spacing w:line="560" w:lineRule="exact"/>
        <w:jc w:val="both"/>
        <w:textAlignment w:val="auto"/>
        <w:rPr>
          <w:rFonts w:hint="eastAsia" w:ascii="仿宋_GB2312" w:hAnsi="仿宋_GB2312" w:eastAsia="仿宋_GB2312" w:cs="仿宋_GB2312"/>
          <w:color w:val="auto"/>
          <w:sz w:val="32"/>
          <w:szCs w:val="32"/>
        </w:rPr>
      </w:pPr>
    </w:p>
    <w:p w14:paraId="3D622060">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根据《中华人民共和国</w:t>
      </w:r>
      <w:r>
        <w:rPr>
          <w:rFonts w:hint="eastAsia" w:ascii="仿宋_GB2312" w:hAnsi="仿宋_GB2312" w:eastAsia="仿宋_GB2312" w:cs="仿宋_GB2312"/>
          <w:color w:val="auto"/>
          <w:sz w:val="32"/>
          <w:szCs w:val="32"/>
          <w:lang w:val="en-US" w:eastAsia="zh-CN"/>
        </w:rPr>
        <w:t>民法典</w:t>
      </w:r>
      <w:r>
        <w:rPr>
          <w:rFonts w:hint="eastAsia" w:ascii="仿宋_GB2312" w:hAnsi="仿宋_GB2312" w:eastAsia="仿宋_GB2312" w:cs="仿宋_GB2312"/>
          <w:color w:val="auto"/>
          <w:sz w:val="32"/>
          <w:szCs w:val="32"/>
        </w:rPr>
        <w:t>》、《中华人民共和国律师法》及其他有关法律的规定，甲方因业务发展和维护自身合法权益的需要，聘请乙方律师作为常年法律顾问。双方按照诚实信用原则，经协商一致，立此合同，共同遵守。</w:t>
      </w:r>
    </w:p>
    <w:p w14:paraId="1D79005A">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乙方的服务范围</w:t>
      </w:r>
    </w:p>
    <w:p w14:paraId="3C76638A">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（一）乙方</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甲方</w:t>
      </w:r>
      <w:r>
        <w:rPr>
          <w:rFonts w:hint="eastAsia" w:ascii="仿宋_GB2312" w:hAnsi="仿宋_GB2312" w:eastAsia="仿宋_GB2312" w:cs="仿宋_GB2312"/>
          <w:color w:val="auto"/>
          <w:sz w:val="32"/>
          <w:szCs w:val="32"/>
        </w:rPr>
        <w:t>提供的法律服务内容：</w:t>
      </w:r>
    </w:p>
    <w:p w14:paraId="43B0FC4C">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1.为甲方日常事务提供法律咨询，解答法律问题，并应甲方要求出具相应的法律意见书及律师函等；</w:t>
      </w:r>
    </w:p>
    <w:p w14:paraId="7FE97AEB">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2.起草、审查甲方经营活动涉及的相关协议、合同、法律文书；</w:t>
      </w:r>
    </w:p>
    <w:p w14:paraId="4C8BD4EC">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3.为甲方重大经营决策事项提供法律意见，出具法律意见书；</w:t>
      </w:r>
    </w:p>
    <w:p w14:paraId="6D28FB59">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4.为甲方报送省国资委审核、批准或备案，需要外聘法律顾问出具法律意见书的事项出具法律意见书；</w:t>
      </w:r>
    </w:p>
    <w:p w14:paraId="1010B50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5.为甲方制定修改公司章程、内部规章制度等提供法律意见，出具法律意见书；</w:t>
      </w:r>
    </w:p>
    <w:p w14:paraId="4AED0EB5">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6.协助甲方健全经营管理规章制度；</w:t>
      </w:r>
    </w:p>
    <w:p w14:paraId="2C7D495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7.全面梳理、审核甲方常用合同，建立健全合同模板库；</w:t>
      </w:r>
    </w:p>
    <w:p w14:paraId="39DE07AD">
      <w:pPr>
        <w:keepNext w:val="0"/>
        <w:keepLines w:val="0"/>
        <w:pageBreakBefore w:val="0"/>
        <w:widowControl/>
        <w:numPr>
          <w:ilvl w:val="0"/>
          <w:numId w:val="0"/>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8</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sz w:val="32"/>
          <w:szCs w:val="32"/>
          <w:lang w:eastAsia="zh-CN"/>
        </w:rPr>
        <w:t>参与</w:t>
      </w:r>
      <w:r>
        <w:rPr>
          <w:rFonts w:hint="eastAsia" w:ascii="仿宋_GB2312" w:hAnsi="仿宋_GB2312" w:eastAsia="仿宋_GB2312" w:cs="仿宋_GB2312"/>
          <w:color w:val="auto"/>
          <w:sz w:val="32"/>
          <w:szCs w:val="32"/>
          <w:lang w:val="en-US" w:eastAsia="zh-CN"/>
        </w:rPr>
        <w:t>磋商、业务谈判，法律纠纷的谈判、协商、调解及风险事件的处置等</w:t>
      </w:r>
      <w:r>
        <w:rPr>
          <w:rFonts w:hint="eastAsia" w:ascii="仿宋_GB2312" w:hAnsi="仿宋_GB2312" w:eastAsia="仿宋_GB2312" w:cs="仿宋_GB2312"/>
          <w:color w:val="auto"/>
          <w:sz w:val="32"/>
          <w:szCs w:val="32"/>
          <w:lang w:eastAsia="zh-CN"/>
        </w:rPr>
        <w:t>；</w:t>
      </w:r>
    </w:p>
    <w:p w14:paraId="642058BB">
      <w:pPr>
        <w:keepNext w:val="0"/>
        <w:keepLines w:val="0"/>
        <w:pageBreakBefore w:val="0"/>
        <w:widowControl/>
        <w:numPr>
          <w:ilvl w:val="0"/>
          <w:numId w:val="0"/>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9</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sz w:val="32"/>
          <w:szCs w:val="32"/>
          <w:lang w:val="en-US" w:eastAsia="zh-CN"/>
        </w:rPr>
        <w:t>就甲方</w:t>
      </w:r>
      <w:r>
        <w:rPr>
          <w:rFonts w:hint="eastAsia" w:ascii="仿宋_GB2312" w:hAnsi="仿宋_GB2312" w:eastAsia="仿宋_GB2312" w:cs="仿宋_GB2312"/>
          <w:color w:val="auto"/>
          <w:sz w:val="32"/>
          <w:szCs w:val="32"/>
          <w:lang w:eastAsia="zh-CN"/>
        </w:rPr>
        <w:t>重大事项或重大案件</w:t>
      </w:r>
      <w:r>
        <w:rPr>
          <w:rFonts w:hint="eastAsia" w:ascii="仿宋_GB2312" w:hAnsi="仿宋_GB2312" w:eastAsia="仿宋_GB2312" w:cs="仿宋_GB2312"/>
          <w:color w:val="auto"/>
          <w:sz w:val="32"/>
          <w:szCs w:val="32"/>
          <w:lang w:val="en-US" w:eastAsia="zh-CN"/>
        </w:rPr>
        <w:t>进行研讨</w:t>
      </w:r>
      <w:r>
        <w:rPr>
          <w:rFonts w:hint="eastAsia" w:ascii="仿宋_GB2312" w:hAnsi="仿宋_GB2312" w:eastAsia="仿宋_GB2312" w:cs="仿宋_GB2312"/>
          <w:color w:val="auto"/>
          <w:sz w:val="32"/>
          <w:szCs w:val="32"/>
          <w:lang w:eastAsia="zh-CN"/>
        </w:rPr>
        <w:t>分</w:t>
      </w:r>
      <w:r>
        <w:rPr>
          <w:rFonts w:hint="eastAsia" w:ascii="仿宋_GB2312" w:hAnsi="仿宋_GB2312" w:eastAsia="仿宋_GB2312" w:cs="仿宋_GB2312"/>
          <w:color w:val="auto"/>
          <w:sz w:val="32"/>
          <w:szCs w:val="32"/>
          <w:lang w:val="en-US" w:eastAsia="zh-CN"/>
        </w:rPr>
        <w:t>析，从法律角度提出参考意见等</w:t>
      </w:r>
      <w:r>
        <w:rPr>
          <w:rFonts w:hint="eastAsia" w:ascii="仿宋_GB2312" w:hAnsi="仿宋_GB2312" w:eastAsia="仿宋_GB2312" w:cs="仿宋_GB2312"/>
          <w:color w:val="auto"/>
          <w:sz w:val="32"/>
          <w:szCs w:val="32"/>
          <w:lang w:eastAsia="zh-CN"/>
        </w:rPr>
        <w:t>；</w:t>
      </w:r>
    </w:p>
    <w:p w14:paraId="573C9DF3">
      <w:pPr>
        <w:keepNext w:val="0"/>
        <w:keepLines w:val="0"/>
        <w:pageBreakBefore w:val="0"/>
        <w:widowControl/>
        <w:numPr>
          <w:ilvl w:val="0"/>
          <w:numId w:val="0"/>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10</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sz w:val="32"/>
          <w:szCs w:val="32"/>
          <w:lang w:val="en-US" w:eastAsia="zh-CN"/>
        </w:rPr>
        <w:t>根据需要列席甲方股东会、董事会、总办会等会议</w:t>
      </w:r>
      <w:r>
        <w:rPr>
          <w:rFonts w:hint="eastAsia" w:ascii="仿宋_GB2312" w:hAnsi="仿宋_GB2312" w:eastAsia="仿宋_GB2312" w:cs="仿宋_GB2312"/>
          <w:color w:val="auto"/>
          <w:sz w:val="32"/>
          <w:szCs w:val="32"/>
          <w:lang w:eastAsia="zh-CN"/>
        </w:rPr>
        <w:t>；</w:t>
      </w:r>
    </w:p>
    <w:p w14:paraId="7F0B203D">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11.协助甲方开展法治宣传教育、培训；</w:t>
      </w:r>
    </w:p>
    <w:p w14:paraId="3ED179E2">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12.需要参与的其他涉法事务。</w:t>
      </w:r>
    </w:p>
    <w:p w14:paraId="7BD89C7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上述服务范围不包括甲方涉及民事、行政、刑事等进入诉讼或者行政复议、</w:t>
      </w:r>
      <w:r>
        <w:rPr>
          <w:rFonts w:hint="eastAsia" w:ascii="仿宋_GB2312" w:hAnsi="仿宋_GB2312" w:eastAsia="仿宋_GB2312" w:cs="仿宋_GB2312"/>
          <w:color w:val="auto"/>
          <w:sz w:val="32"/>
          <w:szCs w:val="32"/>
          <w:lang w:val="en-US" w:eastAsia="zh-CN"/>
        </w:rPr>
        <w:t>劳动、商事</w:t>
      </w:r>
      <w:r>
        <w:rPr>
          <w:rFonts w:hint="eastAsia" w:ascii="仿宋_GB2312" w:hAnsi="仿宋_GB2312" w:eastAsia="仿宋_GB2312" w:cs="仿宋_GB2312"/>
          <w:color w:val="auto"/>
          <w:sz w:val="32"/>
          <w:szCs w:val="32"/>
        </w:rPr>
        <w:t>仲裁等程序的</w:t>
      </w:r>
      <w:r>
        <w:rPr>
          <w:rFonts w:hint="eastAsia" w:ascii="仿宋_GB2312" w:hAnsi="仿宋_GB2312" w:eastAsia="仿宋_GB2312" w:cs="仿宋_GB2312"/>
          <w:color w:val="auto"/>
          <w:sz w:val="32"/>
          <w:szCs w:val="32"/>
          <w:lang w:val="en-US" w:eastAsia="zh-CN"/>
        </w:rPr>
        <w:t>法律</w:t>
      </w:r>
      <w:r>
        <w:rPr>
          <w:rFonts w:hint="eastAsia" w:ascii="仿宋_GB2312" w:hAnsi="仿宋_GB2312" w:eastAsia="仿宋_GB2312" w:cs="仿宋_GB2312"/>
          <w:color w:val="auto"/>
          <w:sz w:val="32"/>
          <w:szCs w:val="32"/>
        </w:rPr>
        <w:t>事务，如甲方需要，双方另行协商与签约。</w:t>
      </w:r>
    </w:p>
    <w:p w14:paraId="6D360633">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三）乙方应当按照甲方相关规定，向甲方提交《法律服务工作报告》，工作报告的主要内容包括：聘请期间的各类法律服务事项（大致内容、次数、时长），发现的法律问题及提出的建议，对下一步工作的计划等。</w:t>
      </w:r>
    </w:p>
    <w:p w14:paraId="48A7966A">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第二条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甲方的权利和义务</w:t>
      </w:r>
    </w:p>
    <w:p w14:paraId="6CFA2099">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2.1 </w:t>
      </w:r>
      <w:r>
        <w:rPr>
          <w:rFonts w:hint="eastAsia" w:ascii="仿宋_GB2312" w:hAnsi="仿宋_GB2312" w:eastAsia="仿宋_GB2312" w:cs="仿宋_GB2312"/>
          <w:color w:val="auto"/>
          <w:sz w:val="32"/>
          <w:szCs w:val="32"/>
        </w:rPr>
        <w:t>甲方应当真实、客观、全面地向乙方提供与常年法律顾问业务有关的各种文件、资料，并介绍有关情况；除紧急事务外，甲方应当提前向常年法律顾问通报，以保证其有合理的准备时间。</w:t>
      </w:r>
    </w:p>
    <w:p w14:paraId="5FA1C0A4">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2.2 </w:t>
      </w:r>
      <w:r>
        <w:rPr>
          <w:rFonts w:hint="eastAsia" w:ascii="仿宋_GB2312" w:hAnsi="仿宋_GB2312" w:eastAsia="仿宋_GB2312" w:cs="仿宋_GB2312"/>
          <w:color w:val="auto"/>
          <w:sz w:val="32"/>
          <w:szCs w:val="32"/>
        </w:rPr>
        <w:t>甲方应当为常年法律顾问办理法律事务提出明确具体、合法合理的要求；不得要求常年法律顾问进行违法或者有违律师执业规范的活动。</w:t>
      </w:r>
    </w:p>
    <w:p w14:paraId="5BD0B93D">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2.3 </w:t>
      </w:r>
      <w:r>
        <w:rPr>
          <w:rFonts w:hint="eastAsia" w:ascii="仿宋_GB2312" w:hAnsi="仿宋_GB2312" w:eastAsia="仿宋_GB2312" w:cs="仿宋_GB2312"/>
          <w:color w:val="auto"/>
          <w:sz w:val="32"/>
          <w:szCs w:val="32"/>
        </w:rPr>
        <w:t>甲方应当依约按时、足额地向乙方支付法律顾问费。</w:t>
      </w:r>
    </w:p>
    <w:p w14:paraId="70B8B1C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2.4 </w:t>
      </w:r>
      <w:r>
        <w:rPr>
          <w:rFonts w:hint="eastAsia" w:ascii="仿宋_GB2312" w:hAnsi="仿宋_GB2312" w:eastAsia="仿宋_GB2312" w:cs="仿宋_GB2312"/>
          <w:color w:val="auto"/>
          <w:sz w:val="32"/>
          <w:szCs w:val="32"/>
        </w:rPr>
        <w:t>甲方有权要求乙方及时更换在服务过程中工作不负责任、或不适合办理甲方委托</w:t>
      </w:r>
      <w:r>
        <w:rPr>
          <w:rFonts w:hint="eastAsia" w:ascii="仿宋_GB2312" w:hAnsi="仿宋_GB2312" w:eastAsia="仿宋_GB2312" w:cs="仿宋_GB2312"/>
          <w:color w:val="auto"/>
          <w:sz w:val="32"/>
          <w:szCs w:val="32"/>
          <w:lang w:val="en-US" w:eastAsia="zh-CN"/>
        </w:rPr>
        <w:t>事项</w:t>
      </w:r>
      <w:r>
        <w:rPr>
          <w:rFonts w:hint="eastAsia" w:ascii="仿宋_GB2312" w:hAnsi="仿宋_GB2312" w:eastAsia="仿宋_GB2312" w:cs="仿宋_GB2312"/>
          <w:color w:val="auto"/>
          <w:sz w:val="32"/>
          <w:szCs w:val="32"/>
        </w:rPr>
        <w:t>的乙方律师担任常年法律顾问。</w:t>
      </w:r>
    </w:p>
    <w:p w14:paraId="192A214F">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2.5 </w:t>
      </w:r>
      <w:r>
        <w:rPr>
          <w:rFonts w:hint="eastAsia" w:ascii="仿宋_GB2312" w:hAnsi="仿宋_GB2312" w:eastAsia="仿宋_GB2312" w:cs="仿宋_GB2312"/>
          <w:color w:val="auto"/>
          <w:sz w:val="32"/>
          <w:szCs w:val="32"/>
        </w:rPr>
        <w:t>甲方有权要求乙方</w:t>
      </w:r>
      <w:r>
        <w:rPr>
          <w:rFonts w:hint="eastAsia" w:ascii="仿宋_GB2312" w:hAnsi="仿宋_GB2312" w:eastAsia="仿宋_GB2312" w:cs="仿宋_GB2312"/>
          <w:color w:val="auto"/>
          <w:sz w:val="32"/>
          <w:szCs w:val="32"/>
          <w:lang w:val="en-US" w:eastAsia="zh-CN"/>
        </w:rPr>
        <w:t>提供</w:t>
      </w:r>
      <w:r>
        <w:rPr>
          <w:rFonts w:hint="eastAsia" w:ascii="仿宋_GB2312" w:hAnsi="仿宋_GB2312" w:eastAsia="仿宋_GB2312" w:cs="仿宋_GB2312"/>
          <w:color w:val="auto"/>
          <w:sz w:val="32"/>
          <w:szCs w:val="32"/>
        </w:rPr>
        <w:t>与常年法律顾问工作相关的材料，但法律法规和律师执业规范规定应当保密的材料除外。</w:t>
      </w:r>
    </w:p>
    <w:p w14:paraId="4A809F81">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第三条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乙方的权利和义务</w:t>
      </w:r>
    </w:p>
    <w:p w14:paraId="5ADF7C0D">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3.1 </w:t>
      </w:r>
      <w:r>
        <w:rPr>
          <w:rFonts w:hint="eastAsia" w:ascii="仿宋_GB2312" w:hAnsi="仿宋_GB2312" w:eastAsia="仿宋_GB2312" w:cs="仿宋_GB2312"/>
          <w:color w:val="auto"/>
          <w:sz w:val="32"/>
          <w:szCs w:val="32"/>
        </w:rPr>
        <w:t>乙方指派</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律师作为甲方常年法律顾问。</w:t>
      </w:r>
    </w:p>
    <w:p w14:paraId="214E709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3.1.1 </w:t>
      </w:r>
      <w:r>
        <w:rPr>
          <w:rFonts w:hint="eastAsia" w:ascii="仿宋_GB2312" w:hAnsi="仿宋_GB2312" w:eastAsia="仿宋_GB2312" w:cs="仿宋_GB2312"/>
          <w:color w:val="auto"/>
          <w:sz w:val="32"/>
          <w:szCs w:val="32"/>
        </w:rPr>
        <w:t>乙方指派的律师因故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仅限于注销律师执业证、自行</w:t>
      </w:r>
      <w:r>
        <w:rPr>
          <w:rFonts w:hint="eastAsia" w:ascii="仿宋_GB2312" w:hAnsi="仿宋_GB2312" w:eastAsia="仿宋_GB2312" w:cs="仿宋_GB2312"/>
          <w:color w:val="auto"/>
          <w:sz w:val="32"/>
          <w:szCs w:val="32"/>
          <w:lang w:eastAsia="zh-CN"/>
        </w:rPr>
        <w:t>辞职、</w:t>
      </w:r>
      <w:r>
        <w:rPr>
          <w:rFonts w:hint="eastAsia" w:ascii="仿宋_GB2312" w:hAnsi="仿宋_GB2312" w:eastAsia="仿宋_GB2312" w:cs="仿宋_GB2312"/>
          <w:color w:val="auto"/>
          <w:sz w:val="32"/>
          <w:szCs w:val="32"/>
          <w:lang w:val="en-US" w:eastAsia="zh-CN"/>
        </w:rPr>
        <w:t>被开除、党内记过、受到刑事处罚、重大疾</w:t>
      </w:r>
      <w:r>
        <w:rPr>
          <w:rFonts w:hint="eastAsia" w:ascii="仿宋_GB2312" w:hAnsi="仿宋_GB2312" w:eastAsia="仿宋_GB2312" w:cs="仿宋_GB2312"/>
          <w:color w:val="auto"/>
          <w:sz w:val="32"/>
          <w:szCs w:val="32"/>
          <w:lang w:eastAsia="zh-CN"/>
        </w:rPr>
        <w:t>病、</w:t>
      </w:r>
      <w:r>
        <w:rPr>
          <w:rFonts w:hint="eastAsia" w:ascii="仿宋_GB2312" w:hAnsi="仿宋_GB2312" w:eastAsia="仿宋_GB2312" w:cs="仿宋_GB2312"/>
          <w:color w:val="auto"/>
          <w:sz w:val="32"/>
          <w:szCs w:val="32"/>
          <w:lang w:val="en-US" w:eastAsia="zh-CN"/>
        </w:rPr>
        <w:t>利益冲突</w:t>
      </w:r>
      <w:r>
        <w:rPr>
          <w:rFonts w:hint="eastAsia" w:ascii="仿宋_GB2312" w:hAnsi="仿宋_GB2312" w:eastAsia="仿宋_GB2312" w:cs="仿宋_GB2312"/>
          <w:color w:val="auto"/>
          <w:sz w:val="32"/>
          <w:szCs w:val="32"/>
          <w:lang w:eastAsia="zh-CN"/>
        </w:rPr>
        <w:t>回避</w:t>
      </w:r>
      <w:r>
        <w:rPr>
          <w:rFonts w:hint="eastAsia" w:ascii="仿宋_GB2312" w:hAnsi="仿宋_GB2312" w:eastAsia="仿宋_GB2312" w:cs="仿宋_GB2312"/>
          <w:color w:val="auto"/>
          <w:sz w:val="32"/>
          <w:szCs w:val="32"/>
          <w:lang w:val="en-US" w:eastAsia="zh-CN"/>
        </w:rPr>
        <w:t>等特殊</w:t>
      </w:r>
      <w:r>
        <w:rPr>
          <w:rFonts w:hint="eastAsia" w:ascii="仿宋_GB2312" w:hAnsi="仿宋_GB2312" w:eastAsia="仿宋_GB2312" w:cs="仿宋_GB2312"/>
          <w:color w:val="auto"/>
          <w:sz w:val="32"/>
          <w:szCs w:val="32"/>
          <w:lang w:eastAsia="zh-CN"/>
        </w:rPr>
        <w:t>原因）</w:t>
      </w:r>
      <w:r>
        <w:rPr>
          <w:rFonts w:hint="eastAsia" w:ascii="仿宋_GB2312" w:hAnsi="仿宋_GB2312" w:eastAsia="仿宋_GB2312" w:cs="仿宋_GB2312"/>
          <w:color w:val="auto"/>
          <w:sz w:val="32"/>
          <w:szCs w:val="32"/>
        </w:rPr>
        <w:t>不能履行职务时，经甲方</w:t>
      </w:r>
      <w:r>
        <w:rPr>
          <w:rFonts w:hint="eastAsia" w:ascii="仿宋_GB2312" w:hAnsi="仿宋_GB2312" w:eastAsia="仿宋_GB2312" w:cs="仿宋_GB2312"/>
          <w:color w:val="auto"/>
          <w:sz w:val="32"/>
          <w:szCs w:val="32"/>
          <w:lang w:val="en-US" w:eastAsia="zh-CN"/>
        </w:rPr>
        <w:t>同意</w:t>
      </w:r>
      <w:r>
        <w:rPr>
          <w:rFonts w:hint="eastAsia" w:ascii="仿宋_GB2312" w:hAnsi="仿宋_GB2312" w:eastAsia="仿宋_GB2312" w:cs="仿宋_GB2312"/>
          <w:color w:val="auto"/>
          <w:sz w:val="32"/>
          <w:szCs w:val="32"/>
        </w:rPr>
        <w:t>，由乙方另行指派律师，继续完成本合同约定的法律顾问工作。甲方</w:t>
      </w:r>
      <w:r>
        <w:rPr>
          <w:rFonts w:hint="eastAsia" w:ascii="仿宋_GB2312" w:hAnsi="仿宋_GB2312" w:eastAsia="仿宋_GB2312" w:cs="仿宋_GB2312"/>
          <w:color w:val="auto"/>
          <w:sz w:val="32"/>
          <w:szCs w:val="32"/>
          <w:lang w:val="en-US" w:eastAsia="zh-CN"/>
        </w:rPr>
        <w:t>认为不能</w:t>
      </w:r>
      <w:r>
        <w:rPr>
          <w:rFonts w:hint="eastAsia" w:ascii="仿宋_GB2312" w:hAnsi="仿宋_GB2312" w:eastAsia="仿宋_GB2312" w:cs="仿宋_GB2312"/>
          <w:color w:val="auto"/>
          <w:sz w:val="32"/>
          <w:szCs w:val="32"/>
        </w:rPr>
        <w:t>接替的，可单方面解除合同，法律顾问费按当年已提供的服务的天数占全年的比例进行结算。</w:t>
      </w:r>
    </w:p>
    <w:p w14:paraId="7C3A7D74">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3.1.2 甲方认为</w:t>
      </w:r>
      <w:r>
        <w:rPr>
          <w:rFonts w:hint="eastAsia" w:ascii="仿宋_GB2312" w:hAnsi="仿宋_GB2312" w:eastAsia="仿宋_GB2312" w:cs="仿宋_GB2312"/>
          <w:color w:val="auto"/>
          <w:sz w:val="32"/>
          <w:szCs w:val="32"/>
        </w:rPr>
        <w:t>乙方指派律师提供的法律服务不符合合同约定或不能满足甲方工作需求的，甲方有权要求乙方更换律师，乙方应当于收到甲方要求之日起三个工作日内重新指派符合条件的律师。</w:t>
      </w:r>
      <w:r>
        <w:rPr>
          <w:rFonts w:hint="eastAsia" w:ascii="仿宋_GB2312" w:hAnsi="仿宋_GB2312" w:eastAsia="仿宋_GB2312" w:cs="仿宋_GB2312"/>
          <w:color w:val="auto"/>
          <w:sz w:val="32"/>
          <w:szCs w:val="32"/>
          <w:lang w:val="en-US" w:eastAsia="zh-CN"/>
        </w:rPr>
        <w:t>更换后甲方认为仍</w:t>
      </w:r>
      <w:r>
        <w:rPr>
          <w:rFonts w:hint="eastAsia" w:ascii="仿宋_GB2312" w:hAnsi="仿宋_GB2312" w:eastAsia="仿宋_GB2312" w:cs="仿宋_GB2312"/>
          <w:color w:val="auto"/>
          <w:sz w:val="32"/>
          <w:szCs w:val="32"/>
        </w:rPr>
        <w:t>不能满足甲方工作需求的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甲方有权</w:t>
      </w:r>
      <w:r>
        <w:rPr>
          <w:rFonts w:hint="eastAsia" w:ascii="仿宋_GB2312" w:hAnsi="仿宋_GB2312" w:eastAsia="仿宋_GB2312" w:cs="仿宋_GB2312"/>
          <w:color w:val="auto"/>
          <w:sz w:val="32"/>
          <w:szCs w:val="32"/>
        </w:rPr>
        <w:t>单方面解除合同，法律顾问费按当年已提供的服务的天数占全年的比例进行结算。</w:t>
      </w:r>
    </w:p>
    <w:p w14:paraId="0B2C55B4">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3.1.3 </w:t>
      </w:r>
      <w:r>
        <w:rPr>
          <w:rFonts w:hint="eastAsia" w:ascii="仿宋_GB2312" w:hAnsi="仿宋_GB2312" w:eastAsia="仿宋_GB2312" w:cs="仿宋_GB2312"/>
          <w:color w:val="auto"/>
          <w:sz w:val="32"/>
          <w:szCs w:val="32"/>
        </w:rPr>
        <w:t>乙方指派</w:t>
      </w:r>
      <w:r>
        <w:rPr>
          <w:rFonts w:hint="eastAsia" w:ascii="仿宋_GB2312" w:hAnsi="仿宋_GB2312" w:eastAsia="仿宋_GB2312" w:cs="仿宋_GB2312"/>
          <w:color w:val="auto"/>
          <w:sz w:val="32"/>
          <w:szCs w:val="32"/>
          <w:lang w:val="en-US" w:eastAsia="zh-CN"/>
        </w:rPr>
        <w:t>的主办律师和协办律师均需直接参与提供法律服务，如甲方发现乙方指派其他律师提供法律服务，甲方有权单方面解除合同，</w:t>
      </w:r>
      <w:r>
        <w:rPr>
          <w:rFonts w:hint="eastAsia" w:ascii="仿宋_GB2312" w:hAnsi="仿宋_GB2312" w:eastAsia="仿宋_GB2312" w:cs="仿宋_GB2312"/>
          <w:color w:val="auto"/>
          <w:sz w:val="32"/>
          <w:szCs w:val="32"/>
        </w:rPr>
        <w:t>法律顾问费按当年已提供的服务的天数占全年的比例进行结算。</w:t>
      </w:r>
    </w:p>
    <w:p w14:paraId="1AB6FF22">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3.2 </w:t>
      </w:r>
      <w:r>
        <w:rPr>
          <w:rFonts w:hint="eastAsia" w:ascii="仿宋_GB2312" w:hAnsi="仿宋_GB2312" w:eastAsia="仿宋_GB2312" w:cs="仿宋_GB2312"/>
          <w:color w:val="auto"/>
          <w:sz w:val="32"/>
          <w:szCs w:val="32"/>
        </w:rPr>
        <w:t>乙方应当依法依理、勤勉尽责地完成本合同第一条</w:t>
      </w:r>
      <w:r>
        <w:rPr>
          <w:rFonts w:hint="eastAsia" w:ascii="仿宋_GB2312" w:hAnsi="仿宋_GB2312" w:eastAsia="仿宋_GB2312" w:cs="仿宋_GB2312"/>
          <w:color w:val="auto"/>
          <w:sz w:val="32"/>
          <w:szCs w:val="32"/>
          <w:lang w:val="en-US" w:eastAsia="zh-CN"/>
        </w:rPr>
        <w:t>第一项</w:t>
      </w:r>
      <w:r>
        <w:rPr>
          <w:rFonts w:hint="eastAsia" w:ascii="仿宋_GB2312" w:hAnsi="仿宋_GB2312" w:eastAsia="仿宋_GB2312" w:cs="仿宋_GB2312"/>
          <w:color w:val="auto"/>
          <w:sz w:val="32"/>
          <w:szCs w:val="32"/>
        </w:rPr>
        <w:t>所列的法律事务，切实维护甲方的合法权益。</w:t>
      </w:r>
    </w:p>
    <w:p w14:paraId="03809CD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3.3 </w:t>
      </w:r>
      <w:r>
        <w:rPr>
          <w:rFonts w:hint="eastAsia" w:ascii="仿宋_GB2312" w:hAnsi="仿宋_GB2312" w:eastAsia="仿宋_GB2312" w:cs="仿宋_GB2312"/>
          <w:color w:val="auto"/>
          <w:sz w:val="32"/>
          <w:szCs w:val="32"/>
        </w:rPr>
        <w:t>乙方应当在获得甲方提供的相关文件资料及其他必须的工作条件后，及时完成服务工作，并应甲方要求通报工作进程。</w:t>
      </w:r>
    </w:p>
    <w:p w14:paraId="71665D90">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3.4 </w:t>
      </w:r>
      <w:r>
        <w:rPr>
          <w:rFonts w:hint="eastAsia" w:ascii="仿宋_GB2312" w:hAnsi="仿宋_GB2312" w:eastAsia="仿宋_GB2312" w:cs="仿宋_GB2312"/>
          <w:color w:val="auto"/>
          <w:sz w:val="32"/>
          <w:szCs w:val="32"/>
        </w:rPr>
        <w:t>乙方对获知的甲方商业秘密或个人隐私负有保密责任，非因法律规定或者甲方同意，不得向任何第三方披露。但以下内容除外：</w:t>
      </w:r>
    </w:p>
    <w:p w14:paraId="306ECD1F">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刑事犯罪证据；</w:t>
      </w:r>
    </w:p>
    <w:p w14:paraId="4873C7B6">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可以公开查阅或取得的信息和资料；</w:t>
      </w:r>
    </w:p>
    <w:p w14:paraId="3E73C3D3">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为履行本合同所约定的服务必须进行的工作。</w:t>
      </w:r>
    </w:p>
    <w:p w14:paraId="736137BC">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乙方违反保密义务的，应承担一切法律责任并赔偿甲方因此遭受的全部损失。</w:t>
      </w:r>
    </w:p>
    <w:p w14:paraId="0952FB52">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3.5 </w:t>
      </w:r>
      <w:r>
        <w:rPr>
          <w:rFonts w:hint="eastAsia" w:ascii="仿宋_GB2312" w:hAnsi="仿宋_GB2312" w:eastAsia="仿宋_GB2312" w:cs="仿宋_GB2312"/>
          <w:color w:val="auto"/>
          <w:sz w:val="32"/>
          <w:szCs w:val="32"/>
        </w:rPr>
        <w:t>乙方应当建立工作档案，保存工作记录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以备甲方或上级主管部门考察</w:t>
      </w:r>
      <w:r>
        <w:rPr>
          <w:rFonts w:hint="eastAsia" w:ascii="仿宋_GB2312" w:hAnsi="仿宋_GB2312" w:eastAsia="仿宋_GB2312" w:cs="仿宋_GB2312"/>
          <w:color w:val="auto"/>
          <w:sz w:val="32"/>
          <w:szCs w:val="32"/>
        </w:rPr>
        <w:t>。</w:t>
      </w:r>
    </w:p>
    <w:p w14:paraId="695E496D">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聘请期限与服务方式</w:t>
      </w:r>
    </w:p>
    <w:p w14:paraId="4EEC2910">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4.1 </w:t>
      </w:r>
      <w:r>
        <w:rPr>
          <w:rFonts w:hint="eastAsia" w:ascii="仿宋_GB2312" w:hAnsi="仿宋_GB2312" w:eastAsia="仿宋_GB2312" w:cs="仿宋_GB2312"/>
          <w:color w:val="auto"/>
          <w:sz w:val="32"/>
          <w:szCs w:val="32"/>
        </w:rPr>
        <w:t>聘请期限：自</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日起至</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日止，共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壹</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个工作年度。本合同期满后，双方</w:t>
      </w:r>
      <w:r>
        <w:rPr>
          <w:rFonts w:hint="eastAsia" w:ascii="仿宋_GB2312" w:hAnsi="仿宋_GB2312" w:eastAsia="仿宋_GB2312" w:cs="仿宋_GB2312"/>
          <w:color w:val="auto"/>
          <w:sz w:val="32"/>
          <w:szCs w:val="32"/>
          <w:lang w:val="en-US" w:eastAsia="zh-CN"/>
        </w:rPr>
        <w:t>可协商延长</w:t>
      </w:r>
      <w:r>
        <w:rPr>
          <w:rFonts w:hint="eastAsia" w:ascii="仿宋_GB2312" w:hAnsi="仿宋_GB2312" w:eastAsia="仿宋_GB2312" w:cs="仿宋_GB2312"/>
          <w:color w:val="auto"/>
          <w:sz w:val="32"/>
          <w:szCs w:val="32"/>
        </w:rPr>
        <w:t>。</w:t>
      </w:r>
    </w:p>
    <w:p w14:paraId="3357A3A9">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4.2 </w:t>
      </w:r>
      <w:r>
        <w:rPr>
          <w:rFonts w:hint="eastAsia" w:ascii="仿宋_GB2312" w:hAnsi="仿宋_GB2312" w:eastAsia="仿宋_GB2312" w:cs="仿宋_GB2312"/>
          <w:color w:val="auto"/>
          <w:sz w:val="32"/>
          <w:szCs w:val="32"/>
        </w:rPr>
        <w:t>服务方式：</w:t>
      </w:r>
    </w:p>
    <w:p w14:paraId="4B064711">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14:paraId="640B2F19">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费用的确定与支付</w:t>
      </w:r>
    </w:p>
    <w:p w14:paraId="3286D5B3">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5.1 </w:t>
      </w:r>
      <w:r>
        <w:rPr>
          <w:rFonts w:hint="eastAsia" w:ascii="仿宋_GB2312" w:hAnsi="仿宋_GB2312" w:eastAsia="仿宋_GB2312" w:cs="仿宋_GB2312"/>
          <w:color w:val="auto"/>
          <w:sz w:val="32"/>
          <w:szCs w:val="32"/>
        </w:rPr>
        <w:t>收费依据：国家和海南省律师服务收费的现行有效规定。</w:t>
      </w:r>
    </w:p>
    <w:p w14:paraId="65C5C593">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5.2 </w:t>
      </w:r>
      <w:r>
        <w:rPr>
          <w:rFonts w:hint="eastAsia" w:ascii="仿宋_GB2312" w:hAnsi="仿宋_GB2312" w:eastAsia="仿宋_GB2312" w:cs="仿宋_GB2312"/>
          <w:color w:val="auto"/>
          <w:sz w:val="32"/>
          <w:szCs w:val="32"/>
        </w:rPr>
        <w:t>法律顾问费：每个工作年度为人民币</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元，总额为人民币</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分两期支付</w:t>
      </w:r>
      <w:r>
        <w:rPr>
          <w:rFonts w:hint="eastAsia" w:ascii="仿宋_GB2312" w:hAnsi="仿宋_GB2312" w:eastAsia="仿宋_GB2312" w:cs="仿宋_GB2312"/>
          <w:color w:val="auto"/>
          <w:sz w:val="32"/>
          <w:szCs w:val="32"/>
        </w:rPr>
        <w:t>。</w:t>
      </w:r>
    </w:p>
    <w:p w14:paraId="5A870FEE">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5.3 </w:t>
      </w:r>
      <w:r>
        <w:rPr>
          <w:rFonts w:hint="eastAsia" w:ascii="仿宋_GB2312" w:hAnsi="仿宋_GB2312" w:eastAsia="仿宋_GB2312" w:cs="仿宋_GB2312"/>
          <w:color w:val="auto"/>
          <w:sz w:val="32"/>
          <w:szCs w:val="32"/>
        </w:rPr>
        <w:t>付费时间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第一期：服务合同签订后次日起，收到律师事务所开具的增值税发票5个工作日内支付50%；第二期：服务合同履行6个月后次日起，收到律师事务所开具的增值税发票5个工作日内支付50%</w:t>
      </w:r>
      <w:r>
        <w:rPr>
          <w:rFonts w:hint="eastAsia" w:ascii="仿宋_GB2312" w:hAnsi="仿宋_GB2312" w:eastAsia="仿宋_GB2312" w:cs="仿宋_GB2312"/>
          <w:color w:val="auto"/>
          <w:sz w:val="32"/>
          <w:szCs w:val="32"/>
        </w:rPr>
        <w:t>。</w:t>
      </w:r>
    </w:p>
    <w:p w14:paraId="3383CD79">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5.4 </w:t>
      </w:r>
      <w:r>
        <w:rPr>
          <w:rFonts w:hint="eastAsia" w:ascii="仿宋_GB2312" w:hAnsi="仿宋_GB2312" w:eastAsia="仿宋_GB2312" w:cs="仿宋_GB2312"/>
          <w:color w:val="auto"/>
          <w:sz w:val="32"/>
          <w:szCs w:val="32"/>
        </w:rPr>
        <w:t>甲方支付法律顾问费前，乙方应按甲方要求提供正规等额发票，否则甲方有权暂缓支付法律顾问费，且不视为甲方违约。乙方收款账号信息有变动的，应当于变动之日起三个工作日内书面函告甲方。</w:t>
      </w:r>
    </w:p>
    <w:p w14:paraId="6EFA26C5">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val="en-US" w:eastAsia="zh-CN"/>
        </w:rPr>
        <w:t>六</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lang w:eastAsia="zh-CN"/>
        </w:rPr>
        <w:t>知识产权</w:t>
      </w:r>
    </w:p>
    <w:p w14:paraId="232B65A0">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6.1 </w:t>
      </w:r>
      <w:r>
        <w:rPr>
          <w:rFonts w:hint="eastAsia" w:ascii="仿宋_GB2312" w:hAnsi="仿宋_GB2312" w:eastAsia="仿宋_GB2312" w:cs="仿宋_GB2312"/>
          <w:b w:val="0"/>
          <w:bCs w:val="0"/>
          <w:color w:val="auto"/>
          <w:sz w:val="32"/>
          <w:szCs w:val="32"/>
          <w:lang w:eastAsia="zh-CN"/>
        </w:rPr>
        <w:t>甲、乙双方均应保护对方的知识产权。未经对方同意，任何一方均不得擅自修改、复制或向第三人转让因履行本合同而自对方处取得的资料及文件（包括合同、协议及其他文件）或将其用于本合同以外的目的。</w:t>
      </w:r>
    </w:p>
    <w:p w14:paraId="3EEDEFC2">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6.2 </w:t>
      </w:r>
      <w:r>
        <w:rPr>
          <w:rFonts w:hint="eastAsia" w:ascii="仿宋_GB2312" w:hAnsi="仿宋_GB2312" w:eastAsia="仿宋_GB2312" w:cs="仿宋_GB2312"/>
          <w:b w:val="0"/>
          <w:bCs w:val="0"/>
          <w:color w:val="auto"/>
          <w:sz w:val="32"/>
          <w:szCs w:val="32"/>
          <w:lang w:eastAsia="zh-CN"/>
        </w:rPr>
        <w:t>乙方及其</w:t>
      </w:r>
      <w:r>
        <w:rPr>
          <w:rFonts w:hint="eastAsia" w:ascii="仿宋_GB2312" w:hAnsi="仿宋_GB2312" w:eastAsia="仿宋_GB2312" w:cs="仿宋_GB2312"/>
          <w:b w:val="0"/>
          <w:bCs w:val="0"/>
          <w:color w:val="auto"/>
          <w:sz w:val="32"/>
          <w:szCs w:val="32"/>
          <w:lang w:val="en-US" w:eastAsia="zh-CN"/>
        </w:rPr>
        <w:t>工作人员</w:t>
      </w:r>
      <w:r>
        <w:rPr>
          <w:rFonts w:hint="eastAsia" w:ascii="仿宋_GB2312" w:hAnsi="仿宋_GB2312" w:eastAsia="仿宋_GB2312" w:cs="仿宋_GB2312"/>
          <w:b w:val="0"/>
          <w:bCs w:val="0"/>
          <w:color w:val="auto"/>
          <w:sz w:val="32"/>
          <w:szCs w:val="32"/>
          <w:lang w:eastAsia="zh-CN"/>
        </w:rPr>
        <w:t>在任何出版物（含各类内部资料和内部出版物）出版或发表任何与甲方经营管理活动相关的文章或在公开场合发表相关言论时，应事先征得甲方同意。</w:t>
      </w:r>
    </w:p>
    <w:p w14:paraId="3706ED69">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6.3 </w:t>
      </w:r>
      <w:r>
        <w:rPr>
          <w:rFonts w:hint="eastAsia" w:ascii="仿宋_GB2312" w:hAnsi="仿宋_GB2312" w:eastAsia="仿宋_GB2312" w:cs="仿宋_GB2312"/>
          <w:b w:val="0"/>
          <w:bCs w:val="0"/>
          <w:color w:val="auto"/>
          <w:sz w:val="32"/>
          <w:szCs w:val="32"/>
          <w:lang w:eastAsia="zh-CN"/>
        </w:rPr>
        <w:t>本条约定在本合同终止后仍然继续有效，且不受合同解除、终止或无效的影响。</w:t>
      </w:r>
    </w:p>
    <w:p w14:paraId="4AB3BD66">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 xml:space="preserve">第七条 </w:t>
      </w:r>
      <w:r>
        <w:rPr>
          <w:rFonts w:hint="eastAsia" w:ascii="仿宋_GB2312" w:hAnsi="仿宋_GB2312" w:eastAsia="仿宋_GB2312" w:cs="仿宋_GB2312"/>
          <w:b/>
          <w:bCs/>
          <w:color w:val="auto"/>
          <w:sz w:val="32"/>
          <w:szCs w:val="32"/>
          <w:lang w:eastAsia="zh-CN"/>
        </w:rPr>
        <w:t>利益冲突禁止</w:t>
      </w:r>
    </w:p>
    <w:p w14:paraId="6B4A0F6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7.1 </w:t>
      </w:r>
      <w:r>
        <w:rPr>
          <w:rFonts w:hint="eastAsia" w:ascii="仿宋_GB2312" w:hAnsi="仿宋_GB2312" w:eastAsia="仿宋_GB2312" w:cs="仿宋_GB2312"/>
          <w:b w:val="0"/>
          <w:bCs w:val="0"/>
          <w:color w:val="auto"/>
          <w:sz w:val="32"/>
          <w:szCs w:val="32"/>
          <w:lang w:eastAsia="zh-CN"/>
        </w:rPr>
        <w:t>乙方应该将已经发生或者正在发生的、为与甲方有利益冲突的第三方当事人提供法律服务的情况及时、如实告知甲方，甲方有权选择继续履行合同或解除合同。</w:t>
      </w:r>
    </w:p>
    <w:p w14:paraId="7683E95E">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7.2 </w:t>
      </w:r>
      <w:r>
        <w:rPr>
          <w:rFonts w:hint="eastAsia" w:ascii="仿宋_GB2312" w:hAnsi="仿宋_GB2312" w:eastAsia="仿宋_GB2312" w:cs="仿宋_GB2312"/>
          <w:b w:val="0"/>
          <w:bCs w:val="0"/>
          <w:color w:val="auto"/>
          <w:sz w:val="32"/>
          <w:szCs w:val="32"/>
          <w:lang w:eastAsia="zh-CN"/>
        </w:rPr>
        <w:t>未经甲方许可，乙方不得为有利益冲突的第三方当事人提供任何法律服务。</w:t>
      </w:r>
    </w:p>
    <w:p w14:paraId="51410AFA">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lang w:val="en-US" w:eastAsia="zh-CN"/>
        </w:rPr>
      </w:pPr>
      <w:bookmarkStart w:id="21" w:name="_Toc374469628"/>
      <w:bookmarkStart w:id="22" w:name="_Toc81784922"/>
      <w:r>
        <w:rPr>
          <w:rFonts w:hint="eastAsia" w:ascii="仿宋_GB2312" w:hAnsi="仿宋_GB2312" w:eastAsia="仿宋_GB2312" w:cs="仿宋_GB2312"/>
          <w:b/>
          <w:bCs/>
          <w:color w:val="auto"/>
          <w:sz w:val="32"/>
          <w:szCs w:val="32"/>
          <w:lang w:val="en-US" w:eastAsia="zh-CN"/>
        </w:rPr>
        <w:t>第八条 违约责任</w:t>
      </w:r>
      <w:bookmarkEnd w:id="21"/>
      <w:bookmarkEnd w:id="22"/>
    </w:p>
    <w:p w14:paraId="712C0926">
      <w:pPr>
        <w:keepNext w:val="0"/>
        <w:keepLines w:val="0"/>
        <w:pageBreakBefore w:val="0"/>
        <w:widowControl w:val="0"/>
        <w:kinsoku/>
        <w:wordWrap w:val="0"/>
        <w:overflowPunct w:val="0"/>
        <w:topLinePunct w:val="0"/>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乙方及其指派律师出现下列行为的，甲方有权解除合同并拒绝支付法律顾问费；已经支付的，甲方有权要求全部退还。给甲方造成损害或损失的，乙方应予以赔偿：</w:t>
      </w:r>
    </w:p>
    <w:p w14:paraId="096837D9">
      <w:pPr>
        <w:keepNext w:val="0"/>
        <w:keepLines w:val="0"/>
        <w:pageBreakBefore w:val="0"/>
        <w:widowControl w:val="0"/>
        <w:numPr>
          <w:ilvl w:val="0"/>
          <w:numId w:val="0"/>
        </w:numPr>
        <w:kinsoku/>
        <w:wordWrap w:val="0"/>
        <w:overflowPunct w:val="0"/>
        <w:topLinePunct w:val="0"/>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8.1 违反第一条、第三条、第六条和第七条的规定；</w:t>
      </w:r>
    </w:p>
    <w:p w14:paraId="32520C25">
      <w:pPr>
        <w:keepNext w:val="0"/>
        <w:keepLines w:val="0"/>
        <w:pageBreakBefore w:val="0"/>
        <w:widowControl w:val="0"/>
        <w:numPr>
          <w:ilvl w:val="0"/>
          <w:numId w:val="0"/>
        </w:numPr>
        <w:kinsoku/>
        <w:wordWrap w:val="0"/>
        <w:overflowPunct w:val="0"/>
        <w:topLinePunct w:val="0"/>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8.2无故终止提供法律服务；</w:t>
      </w:r>
    </w:p>
    <w:p w14:paraId="03046B8B">
      <w:pPr>
        <w:keepNext w:val="0"/>
        <w:keepLines w:val="0"/>
        <w:pageBreakBefore w:val="0"/>
        <w:widowControl w:val="0"/>
        <w:kinsoku/>
        <w:wordWrap w:val="0"/>
        <w:overflowPunct w:val="0"/>
        <w:topLinePunct w:val="0"/>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8.3 发生其他严重失职行为。</w:t>
      </w:r>
    </w:p>
    <w:p w14:paraId="1E9A90F9">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第九条 本合同组成文件包括：</w:t>
      </w:r>
    </w:p>
    <w:p w14:paraId="459FD726">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9.1 合同条款</w:t>
      </w:r>
    </w:p>
    <w:p w14:paraId="42A92FAF">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9.2 比选文件</w:t>
      </w:r>
    </w:p>
    <w:p w14:paraId="6695C76E">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9.3 参选文件</w:t>
      </w:r>
    </w:p>
    <w:p w14:paraId="08A49DDA">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9.4 参选人在参选过程中做出的书面说明或承诺</w:t>
      </w:r>
    </w:p>
    <w:p w14:paraId="5643813C">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9.5 中选结果通知书</w:t>
      </w:r>
    </w:p>
    <w:p w14:paraId="7DA5DD1C">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9.6 补充协议条款</w:t>
      </w:r>
    </w:p>
    <w:p w14:paraId="752A7386">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9.7 甲、乙双方商定的其他必要文件</w:t>
      </w:r>
    </w:p>
    <w:p w14:paraId="74E5B496">
      <w:pPr>
        <w:pStyle w:val="20"/>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上述合同文件内容互为补充，如有不明确，甲方有权解释。</w:t>
      </w:r>
    </w:p>
    <w:p w14:paraId="1036932F">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第十条 联系方式</w:t>
      </w:r>
    </w:p>
    <w:p w14:paraId="41411F9F">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2"/>
          <w:sz w:val="32"/>
          <w:szCs w:val="32"/>
          <w:lang w:val="en-US" w:eastAsia="zh-CN" w:bidi="ar-SA"/>
        </w:rPr>
        <w:t>甲方确认下列通讯方式及联系人是乙方受聘完成甲</w:t>
      </w:r>
      <w:r>
        <w:rPr>
          <w:rFonts w:hint="eastAsia" w:ascii="仿宋_GB2312" w:hAnsi="仿宋_GB2312" w:eastAsia="仿宋_GB2312" w:cs="仿宋_GB2312"/>
          <w:color w:val="auto"/>
          <w:sz w:val="32"/>
          <w:szCs w:val="32"/>
        </w:rPr>
        <w:t>方常年法律顾问工作向甲方履行通知义务的通讯方式及联系人：</w:t>
      </w:r>
    </w:p>
    <w:p w14:paraId="3B263A60">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w:t>
      </w:r>
    </w:p>
    <w:p w14:paraId="17DE81E5">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如果甲方变更通讯方式或联系人，需提前七日书面通知乙方。</w:t>
      </w:r>
    </w:p>
    <w:p w14:paraId="25D07B53">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val="en-US" w:eastAsia="zh-CN"/>
        </w:rPr>
        <w:t>十一</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争议解决方法</w:t>
      </w:r>
    </w:p>
    <w:p w14:paraId="66BE69B6">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因履行本合同发生争议，双方应友好协商；协商不成的，可选择下列第</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种方式解决。</w:t>
      </w:r>
    </w:p>
    <w:p w14:paraId="1970D973">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提交海南仲裁委员会仲裁；</w:t>
      </w:r>
    </w:p>
    <w:p w14:paraId="2A15D97B">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11.2 </w:t>
      </w:r>
      <w:r>
        <w:rPr>
          <w:rFonts w:hint="eastAsia" w:ascii="仿宋_GB2312" w:hAnsi="仿宋_GB2312" w:eastAsia="仿宋_GB2312" w:cs="仿宋_GB2312"/>
          <w:color w:val="auto"/>
          <w:sz w:val="32"/>
          <w:szCs w:val="32"/>
        </w:rPr>
        <w:t>向</w:t>
      </w:r>
      <w:r>
        <w:rPr>
          <w:rFonts w:hint="eastAsia" w:ascii="仿宋_GB2312" w:hAnsi="仿宋_GB2312" w:eastAsia="仿宋_GB2312" w:cs="仿宋_GB2312"/>
          <w:color w:val="auto"/>
          <w:sz w:val="32"/>
          <w:szCs w:val="32"/>
          <w:lang w:val="en-US" w:eastAsia="zh-CN"/>
        </w:rPr>
        <w:t>甲方所在地</w:t>
      </w:r>
      <w:r>
        <w:rPr>
          <w:rFonts w:hint="eastAsia" w:ascii="仿宋_GB2312" w:hAnsi="仿宋_GB2312" w:eastAsia="仿宋_GB2312" w:cs="仿宋_GB2312"/>
          <w:color w:val="auto"/>
          <w:sz w:val="32"/>
          <w:szCs w:val="32"/>
        </w:rPr>
        <w:t>人民法院提起诉讼。</w:t>
      </w:r>
    </w:p>
    <w:p w14:paraId="5A1E87C7">
      <w:pPr>
        <w:keepNext w:val="0"/>
        <w:keepLines w:val="0"/>
        <w:pageBreakBefore w:val="0"/>
        <w:widowControl w:val="0"/>
        <w:kinsoku/>
        <w:wordWrap w:val="0"/>
        <w:overflowPunct w:val="0"/>
        <w:topLinePunct w:val="0"/>
        <w:autoSpaceDE/>
        <w:autoSpaceDN/>
        <w:bidi w:val="0"/>
        <w:adjustRightInd/>
        <w:snapToGrid w:val="0"/>
        <w:spacing w:line="560" w:lineRule="exact"/>
        <w:ind w:left="0"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其他</w:t>
      </w:r>
    </w:p>
    <w:p w14:paraId="25E7BADE">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12.1 </w:t>
      </w:r>
      <w:r>
        <w:rPr>
          <w:rFonts w:hint="eastAsia" w:ascii="仿宋_GB2312" w:hAnsi="仿宋_GB2312" w:eastAsia="仿宋_GB2312" w:cs="仿宋_GB2312"/>
          <w:color w:val="auto"/>
          <w:sz w:val="32"/>
          <w:szCs w:val="32"/>
        </w:rPr>
        <w:t>本合同一式</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份，双方各执</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壹</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份，自</w:t>
      </w:r>
      <w:r>
        <w:rPr>
          <w:rFonts w:hint="eastAsia" w:ascii="仿宋_GB2312" w:hAnsi="仿宋_GB2312" w:eastAsia="仿宋_GB2312" w:cs="仿宋_GB2312"/>
          <w:b w:val="0"/>
          <w:bCs w:val="0"/>
          <w:color w:val="auto"/>
          <w:kern w:val="2"/>
          <w:sz w:val="32"/>
          <w:szCs w:val="32"/>
          <w:lang w:val="en-US" w:eastAsia="zh-CN" w:bidi="ar-SA"/>
        </w:rPr>
        <w:t>甲、乙</w:t>
      </w:r>
      <w:r>
        <w:rPr>
          <w:rFonts w:hint="eastAsia" w:ascii="仿宋_GB2312" w:hAnsi="仿宋_GB2312" w:eastAsia="仿宋_GB2312" w:cs="仿宋_GB2312"/>
          <w:color w:val="auto"/>
          <w:sz w:val="32"/>
          <w:szCs w:val="32"/>
        </w:rPr>
        <w:t>双方签字</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rPr>
        <w:t>盖章之日起生效。</w:t>
      </w:r>
    </w:p>
    <w:p w14:paraId="5320C9F8">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 xml:space="preserve">12.2 </w:t>
      </w:r>
      <w:r>
        <w:rPr>
          <w:rFonts w:hint="eastAsia" w:ascii="仿宋_GB2312" w:hAnsi="仿宋_GB2312" w:eastAsia="仿宋_GB2312" w:cs="仿宋_GB2312"/>
          <w:b w:val="0"/>
          <w:bCs w:val="0"/>
          <w:color w:val="auto"/>
          <w:kern w:val="2"/>
          <w:sz w:val="32"/>
          <w:szCs w:val="32"/>
          <w:lang w:val="en-US" w:eastAsia="zh-CN" w:bidi="ar-SA"/>
        </w:rPr>
        <w:t>甲、乙</w:t>
      </w:r>
      <w:r>
        <w:rPr>
          <w:rFonts w:hint="eastAsia" w:ascii="仿宋_GB2312" w:hAnsi="仿宋_GB2312" w:eastAsia="仿宋_GB2312" w:cs="仿宋_GB2312"/>
          <w:b w:val="0"/>
          <w:bCs w:val="0"/>
          <w:color w:val="auto"/>
          <w:sz w:val="32"/>
          <w:szCs w:val="32"/>
          <w:lang w:val="en-US" w:eastAsia="zh-CN"/>
        </w:rPr>
        <w:t>双方</w:t>
      </w:r>
      <w:r>
        <w:rPr>
          <w:rFonts w:hint="eastAsia" w:ascii="仿宋_GB2312" w:hAnsi="仿宋_GB2312" w:eastAsia="仿宋_GB2312" w:cs="仿宋_GB2312"/>
          <w:b w:val="0"/>
          <w:bCs w:val="0"/>
          <w:color w:val="auto"/>
          <w:sz w:val="32"/>
          <w:szCs w:val="32"/>
        </w:rPr>
        <w:t>承诺：已认真审阅本合同所有格式条款并完全了解</w:t>
      </w:r>
      <w:r>
        <w:rPr>
          <w:rFonts w:hint="eastAsia" w:ascii="仿宋_GB2312" w:hAnsi="仿宋_GB2312" w:eastAsia="仿宋_GB2312" w:cs="仿宋_GB2312"/>
          <w:color w:val="auto"/>
          <w:sz w:val="32"/>
          <w:szCs w:val="32"/>
        </w:rPr>
        <w:t>其详尽内容；本合同所有条款均属双方平等且完全协商一致而达成。</w:t>
      </w:r>
    </w:p>
    <w:p w14:paraId="3CD9FD49">
      <w:pPr>
        <w:keepNext w:val="0"/>
        <w:keepLines w:val="0"/>
        <w:pageBreakBefore w:val="0"/>
        <w:widowControl w:val="0"/>
        <w:kinsoku/>
        <w:wordWrap w:val="0"/>
        <w:overflowPunct w:val="0"/>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 xml:space="preserve">12.3 </w:t>
      </w:r>
      <w:r>
        <w:rPr>
          <w:rFonts w:hint="eastAsia" w:ascii="仿宋_GB2312" w:hAnsi="仿宋_GB2312" w:eastAsia="仿宋_GB2312" w:cs="仿宋_GB2312"/>
          <w:b w:val="0"/>
          <w:bCs w:val="0"/>
          <w:color w:val="auto"/>
          <w:sz w:val="32"/>
          <w:szCs w:val="32"/>
        </w:rPr>
        <w:t>未尽事宜，</w:t>
      </w:r>
      <w:r>
        <w:rPr>
          <w:rFonts w:hint="eastAsia" w:ascii="仿宋_GB2312" w:hAnsi="仿宋_GB2312" w:eastAsia="仿宋_GB2312" w:cs="仿宋_GB2312"/>
          <w:b w:val="0"/>
          <w:bCs w:val="0"/>
          <w:color w:val="auto"/>
          <w:kern w:val="2"/>
          <w:sz w:val="32"/>
          <w:szCs w:val="32"/>
          <w:lang w:val="en-US" w:eastAsia="zh-CN" w:bidi="ar-SA"/>
        </w:rPr>
        <w:t>甲、乙</w:t>
      </w:r>
      <w:r>
        <w:rPr>
          <w:rFonts w:hint="eastAsia" w:ascii="仿宋_GB2312" w:hAnsi="仿宋_GB2312" w:eastAsia="仿宋_GB2312" w:cs="仿宋_GB2312"/>
          <w:b w:val="0"/>
          <w:bCs w:val="0"/>
          <w:color w:val="auto"/>
          <w:sz w:val="32"/>
          <w:szCs w:val="32"/>
        </w:rPr>
        <w:t>双方可在本条另行特别约定：</w:t>
      </w:r>
    </w:p>
    <w:p w14:paraId="3443E511">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w:t>
      </w:r>
    </w:p>
    <w:p w14:paraId="2B5E26E6">
      <w:pPr>
        <w:keepNext w:val="0"/>
        <w:keepLines w:val="0"/>
        <w:pageBreakBefore w:val="0"/>
        <w:widowControl w:val="0"/>
        <w:kinsoku/>
        <w:wordWrap w:val="0"/>
        <w:overflowPunct w:val="0"/>
        <w:topLinePunct w:val="0"/>
        <w:autoSpaceDE/>
        <w:autoSpaceDN/>
        <w:bidi w:val="0"/>
        <w:adjustRightInd/>
        <w:snapToGrid w:val="0"/>
        <w:spacing w:line="560" w:lineRule="exact"/>
        <w:jc w:val="both"/>
        <w:textAlignment w:val="auto"/>
        <w:rPr>
          <w:rFonts w:hint="eastAsia" w:ascii="仿宋_GB2312" w:hAnsi="仿宋_GB2312" w:eastAsia="仿宋_GB2312" w:cs="仿宋_GB2312"/>
          <w:color w:val="auto"/>
          <w:sz w:val="32"/>
          <w:szCs w:val="32"/>
          <w:u w:val="none"/>
          <w:lang w:val="en-US" w:eastAsia="zh-CN"/>
        </w:rPr>
      </w:pPr>
    </w:p>
    <w:tbl>
      <w:tblPr>
        <w:tblStyle w:val="29"/>
        <w:tblpPr w:leftFromText="180" w:rightFromText="180" w:vertAnchor="text" w:horzAnchor="page" w:tblpXSpec="center" w:tblpY="318"/>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508"/>
        <w:gridCol w:w="4511"/>
      </w:tblGrid>
      <w:tr w14:paraId="42D23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jc w:val="center"/>
        </w:trPr>
        <w:tc>
          <w:tcPr>
            <w:tcW w:w="4508" w:type="dxa"/>
            <w:vAlign w:val="top"/>
          </w:tcPr>
          <w:p w14:paraId="42B11EAF">
            <w:pPr>
              <w:keepNext w:val="0"/>
              <w:keepLines w:val="0"/>
              <w:pageBreakBefore w:val="0"/>
              <w:widowControl w:val="0"/>
              <w:tabs>
                <w:tab w:val="left" w:pos="1785"/>
              </w:tabs>
              <w:kinsoku/>
              <w:wordWrap w:val="0"/>
              <w:overflowPunct w:val="0"/>
              <w:topLinePunct w:val="0"/>
              <w:autoSpaceDE w:val="0"/>
              <w:autoSpaceDN w:val="0"/>
              <w:bidi w:val="0"/>
              <w:adjustRightInd/>
              <w:snapToGrid/>
              <w:spacing w:after="0" w:line="560" w:lineRule="exact"/>
              <w:ind w:left="0" w:leftChars="0" w:right="0" w:right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甲方：海南联合资产管理有限公司</w:t>
            </w:r>
          </w:p>
        </w:tc>
        <w:tc>
          <w:tcPr>
            <w:tcW w:w="4511" w:type="dxa"/>
            <w:vAlign w:val="top"/>
          </w:tcPr>
          <w:p w14:paraId="46AEBCAC">
            <w:pPr>
              <w:keepNext w:val="0"/>
              <w:keepLines w:val="0"/>
              <w:pageBreakBefore w:val="0"/>
              <w:widowControl w:val="0"/>
              <w:tabs>
                <w:tab w:val="left" w:pos="1785"/>
              </w:tabs>
              <w:kinsoku/>
              <w:wordWrap w:val="0"/>
              <w:overflowPunct w:val="0"/>
              <w:topLinePunct w:val="0"/>
              <w:autoSpaceDE w:val="0"/>
              <w:autoSpaceDN w:val="0"/>
              <w:bidi w:val="0"/>
              <w:adjustRightInd/>
              <w:snapToGrid/>
              <w:spacing w:after="0" w:line="560" w:lineRule="exact"/>
              <w:ind w:left="0" w:leftChars="0" w:right="0" w:right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乙方：</w:t>
            </w:r>
          </w:p>
        </w:tc>
      </w:tr>
      <w:tr w14:paraId="3C6E9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4508" w:type="dxa"/>
          </w:tcPr>
          <w:p w14:paraId="5BC1D4EE">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法定代表人：</w:t>
            </w:r>
          </w:p>
        </w:tc>
        <w:tc>
          <w:tcPr>
            <w:tcW w:w="4511" w:type="dxa"/>
          </w:tcPr>
          <w:p w14:paraId="153D0C0A">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法定代表人：</w:t>
            </w:r>
          </w:p>
        </w:tc>
      </w:tr>
      <w:tr w14:paraId="179D1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jc w:val="center"/>
        </w:trPr>
        <w:tc>
          <w:tcPr>
            <w:tcW w:w="4508" w:type="dxa"/>
          </w:tcPr>
          <w:p w14:paraId="68DF263A">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地址：</w:t>
            </w:r>
          </w:p>
        </w:tc>
        <w:tc>
          <w:tcPr>
            <w:tcW w:w="4511" w:type="dxa"/>
          </w:tcPr>
          <w:p w14:paraId="3CA9761D">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地址：</w:t>
            </w:r>
          </w:p>
        </w:tc>
      </w:tr>
      <w:tr w14:paraId="2808B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7" w:hRule="atLeast"/>
          <w:jc w:val="center"/>
        </w:trPr>
        <w:tc>
          <w:tcPr>
            <w:tcW w:w="4508" w:type="dxa"/>
          </w:tcPr>
          <w:p w14:paraId="18C01C0B">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电话：</w:t>
            </w:r>
          </w:p>
        </w:tc>
        <w:tc>
          <w:tcPr>
            <w:tcW w:w="4511" w:type="dxa"/>
          </w:tcPr>
          <w:p w14:paraId="35FCCCE3">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电话：</w:t>
            </w:r>
          </w:p>
        </w:tc>
      </w:tr>
      <w:tr w14:paraId="3C8F6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5" w:hRule="atLeast"/>
          <w:jc w:val="center"/>
        </w:trPr>
        <w:tc>
          <w:tcPr>
            <w:tcW w:w="4508" w:type="dxa"/>
          </w:tcPr>
          <w:p w14:paraId="50FE7876">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开户行：</w:t>
            </w:r>
          </w:p>
        </w:tc>
        <w:tc>
          <w:tcPr>
            <w:tcW w:w="4511" w:type="dxa"/>
          </w:tcPr>
          <w:p w14:paraId="5CBB8222">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开户行：</w:t>
            </w:r>
          </w:p>
        </w:tc>
      </w:tr>
      <w:tr w14:paraId="7BB3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jc w:val="center"/>
        </w:trPr>
        <w:tc>
          <w:tcPr>
            <w:tcW w:w="4508" w:type="dxa"/>
          </w:tcPr>
          <w:p w14:paraId="7FF7BA4E">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帐号：</w:t>
            </w:r>
          </w:p>
        </w:tc>
        <w:tc>
          <w:tcPr>
            <w:tcW w:w="4511" w:type="dxa"/>
          </w:tcPr>
          <w:p w14:paraId="5462EE12">
            <w:pPr>
              <w:keepNext w:val="0"/>
              <w:keepLines w:val="0"/>
              <w:pageBreakBefore w:val="0"/>
              <w:widowControl w:val="0"/>
              <w:kinsoku/>
              <w:wordWrap w:val="0"/>
              <w:overflowPunct w:val="0"/>
              <w:topLinePunct w:val="0"/>
              <w:autoSpaceDE w:val="0"/>
              <w:autoSpaceDN w:val="0"/>
              <w:bidi w:val="0"/>
              <w:adjustRightInd/>
              <w:spacing w:after="0" w:line="560" w:lineRule="exact"/>
              <w:ind w:left="0" w:right="0"/>
              <w:jc w:val="both"/>
              <w:textAlignment w:val="auto"/>
              <w:rPr>
                <w:rFonts w:hint="eastAsia" w:ascii="仿宋_GB2312" w:hAnsi="仿宋_GB2312" w:eastAsia="仿宋_GB2312" w:cs="仿宋_GB2312"/>
                <w:color w:val="auto"/>
                <w:sz w:val="32"/>
                <w:szCs w:val="32"/>
                <w:lang w:val="en-US" w:eastAsia="zh-CN" w:bidi="zh-CN"/>
              </w:rPr>
            </w:pPr>
            <w:r>
              <w:rPr>
                <w:rFonts w:hint="eastAsia" w:ascii="仿宋_GB2312" w:hAnsi="仿宋_GB2312" w:eastAsia="仿宋_GB2312" w:cs="仿宋_GB2312"/>
                <w:color w:val="auto"/>
                <w:sz w:val="32"/>
                <w:szCs w:val="32"/>
                <w:lang w:val="zh-CN" w:eastAsia="zh-CN" w:bidi="zh-CN"/>
              </w:rPr>
              <w:t>帐号：</w:t>
            </w:r>
          </w:p>
        </w:tc>
      </w:tr>
    </w:tbl>
    <w:p w14:paraId="27E2230C">
      <w:pPr>
        <w:pStyle w:val="12"/>
        <w:keepNext w:val="0"/>
        <w:keepLines w:val="0"/>
        <w:pageBreakBefore w:val="0"/>
        <w:widowControl w:val="0"/>
        <w:kinsoku/>
        <w:wordWrap w:val="0"/>
        <w:overflowPunct w:val="0"/>
        <w:topLinePunct w:val="0"/>
        <w:bidi w:val="0"/>
        <w:adjustRightInd/>
        <w:spacing w:line="560" w:lineRule="exact"/>
        <w:ind w:left="0"/>
        <w:jc w:val="both"/>
        <w:textAlignment w:val="auto"/>
        <w:rPr>
          <w:rFonts w:hint="eastAsia" w:ascii="仿宋_GB2312" w:hAnsi="仿宋_GB2312" w:eastAsia="仿宋_GB2312" w:cs="仿宋_GB2312"/>
          <w:color w:val="auto"/>
          <w:sz w:val="32"/>
          <w:szCs w:val="32"/>
        </w:rPr>
      </w:pPr>
    </w:p>
    <w:p w14:paraId="278FB228">
      <w:pPr>
        <w:pStyle w:val="12"/>
        <w:keepNext w:val="0"/>
        <w:keepLines w:val="0"/>
        <w:pageBreakBefore w:val="0"/>
        <w:widowControl w:val="0"/>
        <w:kinsoku/>
        <w:wordWrap w:val="0"/>
        <w:overflowPunct w:val="0"/>
        <w:topLinePunct w:val="0"/>
        <w:bidi w:val="0"/>
        <w:adjustRightInd/>
        <w:spacing w:line="560" w:lineRule="exact"/>
        <w:ind w:left="0"/>
        <w:jc w:val="both"/>
        <w:textAlignment w:val="auto"/>
        <w:rPr>
          <w:rFonts w:hint="eastAsia" w:ascii="仿宋_GB2312" w:hAnsi="仿宋_GB2312" w:eastAsia="仿宋_GB2312" w:cs="仿宋_GB2312"/>
          <w:color w:val="auto"/>
          <w:sz w:val="32"/>
          <w:szCs w:val="32"/>
        </w:rPr>
      </w:pPr>
    </w:p>
    <w:p w14:paraId="6EF0A0E1">
      <w:pPr>
        <w:pStyle w:val="12"/>
        <w:keepNext w:val="0"/>
        <w:keepLines w:val="0"/>
        <w:pageBreakBefore w:val="0"/>
        <w:widowControl w:val="0"/>
        <w:tabs>
          <w:tab w:val="left" w:pos="7183"/>
          <w:tab w:val="left" w:pos="8162"/>
          <w:tab w:val="left" w:pos="9002"/>
        </w:tabs>
        <w:kinsoku/>
        <w:wordWrap w:val="0"/>
        <w:overflowPunct w:val="0"/>
        <w:topLinePunct w:val="0"/>
        <w:bidi w:val="0"/>
        <w:adjustRightInd/>
        <w:spacing w:line="560" w:lineRule="exact"/>
        <w:ind w:left="0"/>
        <w:jc w:val="right"/>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rPr>
        <w:t>签</w:t>
      </w:r>
      <w:r>
        <w:rPr>
          <w:rFonts w:hint="eastAsia" w:ascii="仿宋_GB2312" w:hAnsi="仿宋_GB2312" w:eastAsia="仿宋_GB2312" w:cs="仿宋_GB2312"/>
          <w:color w:val="auto"/>
          <w:sz w:val="32"/>
          <w:szCs w:val="32"/>
          <w:lang w:val="en-US" w:eastAsia="zh-CN"/>
        </w:rPr>
        <w:t>订</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pacing w:val="-3"/>
          <w:sz w:val="32"/>
          <w:szCs w:val="32"/>
        </w:rPr>
        <w:t>期</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42300342">
      <w:pPr>
        <w:rPr>
          <w:rFonts w:hint="eastAsia" w:ascii="宋体" w:hAnsi="宋体"/>
          <w:color w:val="auto"/>
          <w:sz w:val="36"/>
          <w:szCs w:val="36"/>
        </w:rPr>
      </w:pPr>
      <w:r>
        <w:rPr>
          <w:color w:val="auto"/>
          <w:lang w:eastAsia="zh-CN" w:bidi="ar-SA"/>
        </w:rPr>
        <w:br w:type="page"/>
      </w:r>
      <w:bookmarkStart w:id="23" w:name="_Toc81784930"/>
    </w:p>
    <w:bookmarkEnd w:id="20"/>
    <w:bookmarkEnd w:id="23"/>
    <w:p w14:paraId="542971E3">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24" w:name="_Toc23147"/>
      <w:r>
        <w:rPr>
          <w:rFonts w:hint="eastAsia" w:ascii="黑体" w:hAnsi="黑体" w:eastAsia="黑体" w:cs="黑体"/>
          <w:b w:val="0"/>
          <w:bCs w:val="0"/>
          <w:color w:val="auto"/>
          <w:lang w:val="en-US" w:eastAsia="zh-CN"/>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483126A">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7483126A">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v:textbox>
              </v:shape>
            </w:pict>
          </mc:Fallback>
        </mc:AlternateContent>
      </w:r>
      <w:r>
        <w:rPr>
          <w:rFonts w:hint="eastAsia" w:ascii="黑体" w:hAnsi="黑体" w:eastAsia="黑体" w:cs="黑体"/>
          <w:b w:val="0"/>
          <w:bCs w:val="0"/>
          <w:color w:val="auto"/>
          <w:lang w:val="en-US" w:eastAsia="zh-CN"/>
        </w:rPr>
        <w:t>第五章 参选文件格式</w:t>
      </w:r>
      <w:bookmarkEnd w:id="24"/>
    </w:p>
    <w:p w14:paraId="7EF4C3F3">
      <w:pPr>
        <w:bidi w:val="0"/>
        <w:jc w:val="both"/>
        <w:rPr>
          <w:rFonts w:hint="eastAsia" w:ascii="仿宋_GB2312" w:hAnsi="仿宋_GB2312" w:eastAsia="仿宋_GB2312" w:cs="仿宋_GB2312"/>
          <w:color w:val="auto"/>
          <w:sz w:val="32"/>
          <w:szCs w:val="32"/>
        </w:rPr>
      </w:pPr>
    </w:p>
    <w:p w14:paraId="773F6B97">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海南联合资产管理有限公司</w:t>
      </w:r>
    </w:p>
    <w:p w14:paraId="769947B6">
      <w:pPr>
        <w:bidi w:val="0"/>
        <w:jc w:val="center"/>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52"/>
        </w:rPr>
        <w:t>公开比选常年法律顾问项目</w:t>
      </w:r>
    </w:p>
    <w:p w14:paraId="74863CB7">
      <w:pPr>
        <w:bidi w:val="0"/>
        <w:rPr>
          <w:rFonts w:hint="eastAsia" w:ascii="仿宋_GB2312" w:hAnsi="仿宋_GB2312" w:eastAsia="仿宋_GB2312" w:cs="仿宋_GB2312"/>
          <w:color w:val="auto"/>
          <w:sz w:val="32"/>
          <w:szCs w:val="32"/>
        </w:rPr>
      </w:pPr>
    </w:p>
    <w:p w14:paraId="2CBF30A6">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参</w:t>
      </w:r>
    </w:p>
    <w:p w14:paraId="724B5E18">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选</w:t>
      </w:r>
    </w:p>
    <w:p w14:paraId="5470489E">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文</w:t>
      </w:r>
    </w:p>
    <w:p w14:paraId="0581B701">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件</w:t>
      </w:r>
    </w:p>
    <w:p w14:paraId="0C9FCA93">
      <w:pPr>
        <w:bidi w:val="0"/>
        <w:rPr>
          <w:rFonts w:hint="eastAsia" w:ascii="仿宋_GB2312" w:hAnsi="仿宋_GB2312" w:eastAsia="仿宋_GB2312" w:cs="仿宋_GB2312"/>
          <w:color w:val="auto"/>
          <w:sz w:val="32"/>
          <w:szCs w:val="32"/>
        </w:rPr>
      </w:pPr>
    </w:p>
    <w:p w14:paraId="5163577A">
      <w:pPr>
        <w:bidi w:val="0"/>
        <w:ind w:firstLine="1280" w:firstLineChars="400"/>
        <w:rPr>
          <w:rFonts w:hint="eastAsia" w:ascii="楷体_GB2312" w:hAnsi="楷体_GB2312" w:eastAsia="楷体_GB2312" w:cs="楷体_GB2312"/>
          <w:b w:val="0"/>
          <w:bCs w:val="0"/>
          <w:color w:val="auto"/>
          <w:sz w:val="32"/>
          <w:szCs w:val="32"/>
          <w:u w:val="single"/>
          <w:lang w:val="en-US" w:eastAsia="zh-CN"/>
        </w:rPr>
      </w:pPr>
      <w:r>
        <w:rPr>
          <w:rFonts w:hint="eastAsia" w:ascii="楷体_GB2312" w:hAnsi="楷体_GB2312" w:eastAsia="楷体_GB2312" w:cs="楷体_GB2312"/>
          <w:b w:val="0"/>
          <w:bCs w:val="0"/>
          <w:color w:val="auto"/>
          <w:sz w:val="32"/>
          <w:szCs w:val="32"/>
          <w:u w:val="none"/>
          <w:lang w:val="en-US" w:eastAsia="zh-CN"/>
        </w:rPr>
        <w:t>参 选 人</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single"/>
          <w:lang w:val="en-US" w:eastAsia="zh-CN"/>
        </w:rPr>
        <w:t xml:space="preserve">                              </w:t>
      </w:r>
    </w:p>
    <w:p w14:paraId="7EF02E63">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联系地址：                              </w:t>
      </w:r>
    </w:p>
    <w:p w14:paraId="039D3219">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联系方式：                              </w:t>
      </w:r>
    </w:p>
    <w:p w14:paraId="7671AEE6">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参选日期</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none"/>
          <w:lang w:val="en-US" w:eastAsia="zh-CN"/>
        </w:rPr>
        <w:t xml:space="preserve">                              </w:t>
      </w:r>
    </w:p>
    <w:p w14:paraId="4CE585DE">
      <w:pPr>
        <w:bidi w:val="0"/>
        <w:ind w:firstLine="1285" w:firstLineChars="4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br w:type="page"/>
      </w:r>
    </w:p>
    <w:p w14:paraId="280A2E1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5" w:name="_Toc29854"/>
      <w:bookmarkStart w:id="26" w:name="_Toc6107"/>
      <w:r>
        <w:rPr>
          <w:rFonts w:hint="eastAsia" w:ascii="仿宋_GB2312" w:hAnsi="仿宋_GB2312" w:eastAsia="仿宋_GB2312" w:cs="仿宋_GB2312"/>
          <w:b/>
          <w:bCs/>
          <w:color w:val="auto"/>
          <w:kern w:val="2"/>
          <w:sz w:val="32"/>
          <w:szCs w:val="32"/>
          <w:lang w:val="en-US" w:eastAsia="zh-CN" w:bidi="ar-SA"/>
        </w:rPr>
        <w:t>一、律师事务所执业许可证（另附）</w:t>
      </w:r>
    </w:p>
    <w:p w14:paraId="75644E00">
      <w:pPr>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rPr>
      </w:pPr>
    </w:p>
    <w:p w14:paraId="17A566D3">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p>
    <w:p w14:paraId="7F23668E">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p>
    <w:p w14:paraId="7A781F0A">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注：复印件须加盖单位公章</w:t>
      </w:r>
    </w:p>
    <w:p w14:paraId="748B9A8E">
      <w:pPr>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br w:type="page"/>
      </w:r>
    </w:p>
    <w:p w14:paraId="6E2BE7C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7" w:name="_Toc81784931"/>
      <w:r>
        <w:rPr>
          <w:rFonts w:hint="eastAsia" w:ascii="仿宋_GB2312" w:hAnsi="仿宋_GB2312" w:eastAsia="仿宋_GB2312" w:cs="仿宋_GB2312"/>
          <w:b/>
          <w:bCs/>
          <w:color w:val="auto"/>
          <w:kern w:val="2"/>
          <w:sz w:val="32"/>
          <w:szCs w:val="32"/>
          <w:lang w:val="en-US" w:eastAsia="zh-CN" w:bidi="ar-SA"/>
        </w:rPr>
        <w:t>二、法定代表人（负责人）身份证明</w:t>
      </w:r>
      <w:bookmarkEnd w:id="25"/>
      <w:bookmarkEnd w:id="27"/>
    </w:p>
    <w:p w14:paraId="32215269">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1E90182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3B553C86">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同志，在我单位担任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职务，是我单位的法定代表人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，特此证明。</w:t>
      </w:r>
    </w:p>
    <w:p w14:paraId="6AFB9952">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50AB0904">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02F83CE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760B510F">
      <w:pPr>
        <w:keepLines w:val="0"/>
        <w:pageBreakBefore w:val="0"/>
        <w:kinsoku/>
        <w:wordWrap w:val="0"/>
        <w:overflowPunct w:val="0"/>
        <w:topLinePunct w:val="0"/>
        <w:autoSpaceDE/>
        <w:autoSpaceDN/>
        <w:bidi w:val="0"/>
        <w:snapToGrid/>
        <w:spacing w:line="560" w:lineRule="atLeast"/>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val="en-US" w:eastAsia="zh-CN"/>
        </w:rPr>
        <w:t xml:space="preserve">             </w:t>
      </w:r>
    </w:p>
    <w:p w14:paraId="6567FA0E">
      <w:pPr>
        <w:keepLines w:val="0"/>
        <w:pageBreakBefore w:val="0"/>
        <w:kinsoku/>
        <w:wordWrap w:val="0"/>
        <w:overflowPunct w:val="0"/>
        <w:topLinePunct w:val="0"/>
        <w:autoSpaceDE/>
        <w:autoSpaceDN/>
        <w:bidi w:val="0"/>
        <w:snapToGrid/>
        <w:spacing w:line="560" w:lineRule="atLeast"/>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2DA4608D">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1023387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身份证复印件</w:t>
      </w:r>
    </w:p>
    <w:p w14:paraId="270250B3">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rPr>
        <w:t>：</w:t>
      </w:r>
    </w:p>
    <w:p w14:paraId="48612F52">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联系方式：</w:t>
      </w:r>
    </w:p>
    <w:p w14:paraId="187B8A86">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7FC360ED">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身份证复印件</w:t>
      </w:r>
      <w:r>
        <w:rPr>
          <w:rFonts w:hint="eastAsia" w:ascii="仿宋_GB2312" w:hAnsi="仿宋_GB2312" w:eastAsia="仿宋_GB2312" w:cs="仿宋_GB2312"/>
          <w:color w:val="auto"/>
          <w:sz w:val="32"/>
          <w:szCs w:val="32"/>
          <w:lang w:val="en-US" w:eastAsia="zh-CN"/>
        </w:rPr>
        <w:t>须</w:t>
      </w:r>
      <w:r>
        <w:rPr>
          <w:rFonts w:hint="eastAsia" w:ascii="仿宋_GB2312" w:hAnsi="仿宋_GB2312" w:eastAsia="仿宋_GB2312" w:cs="仿宋_GB2312"/>
          <w:color w:val="auto"/>
          <w:sz w:val="32"/>
          <w:szCs w:val="32"/>
        </w:rPr>
        <w:t>加盖单位</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p>
    <w:p w14:paraId="11548D06">
      <w:pPr>
        <w:keepLines w:val="0"/>
        <w:pageBreakBefore w:val="0"/>
        <w:kinsoku/>
        <w:wordWrap w:val="0"/>
        <w:overflowPunct w:val="0"/>
        <w:topLinePunct w:val="0"/>
        <w:autoSpaceDE/>
        <w:autoSpaceDN/>
        <w:bidi w:val="0"/>
        <w:snapToGrid/>
        <w:spacing w:line="560"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亲自参与投标活动</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rPr>
        <w:t>适用。</w:t>
      </w:r>
    </w:p>
    <w:p w14:paraId="114B5E55">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bookmarkStart w:id="28" w:name="_Toc81784932"/>
    </w:p>
    <w:p w14:paraId="1936AC32">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三、授权委托书</w:t>
      </w:r>
      <w:bookmarkEnd w:id="26"/>
      <w:bookmarkEnd w:id="28"/>
    </w:p>
    <w:p w14:paraId="3C7891DE">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p>
    <w:p w14:paraId="5C4ADDB6">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委托人：           律师事务所</w:t>
      </w:r>
    </w:p>
    <w:p w14:paraId="0E9A1B90">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p>
    <w:p w14:paraId="25CA6168">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受托人：        ，男/女，   族，1991年01月11日出生，公民身份号码：            地址：              。</w:t>
      </w:r>
    </w:p>
    <w:p w14:paraId="6934EFB3">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现授权委托</w:t>
      </w:r>
      <w:r>
        <w:rPr>
          <w:rFonts w:hint="eastAsia" w:ascii="仿宋_GB2312" w:hAnsi="仿宋_GB2312" w:eastAsia="仿宋_GB2312" w:cs="仿宋_GB2312"/>
          <w:color w:val="auto"/>
          <w:sz w:val="32"/>
          <w:szCs w:val="32"/>
          <w:u w:val="single"/>
        </w:rPr>
        <w:t xml:space="preserve">      （受托人姓名）</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唯一代理人，以本</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的名义参加</w:t>
      </w:r>
      <w:r>
        <w:rPr>
          <w:rFonts w:hint="eastAsia" w:ascii="仿宋_GB2312" w:hAnsi="仿宋_GB2312" w:eastAsia="仿宋_GB2312" w:cs="仿宋_GB2312"/>
          <w:color w:val="auto"/>
          <w:sz w:val="32"/>
          <w:szCs w:val="32"/>
          <w:u w:val="single"/>
        </w:rPr>
        <w:t>海南联合资产管理有限公司公开比选常年法律顾问项目</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活动。</w:t>
      </w:r>
    </w:p>
    <w:p w14:paraId="3411F191">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受托人</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活动中所签署的一切文件和处理与之有关的一切事务，</w:t>
      </w:r>
      <w:r>
        <w:rPr>
          <w:rFonts w:hint="eastAsia" w:ascii="仿宋_GB2312" w:hAnsi="仿宋_GB2312" w:eastAsia="仿宋_GB2312" w:cs="仿宋_GB2312"/>
          <w:b w:val="0"/>
          <w:bCs w:val="0"/>
          <w:color w:val="auto"/>
          <w:sz w:val="32"/>
          <w:szCs w:val="32"/>
          <w:lang w:val="en-US" w:eastAsia="zh-CN"/>
        </w:rPr>
        <w:t>委托人</w:t>
      </w:r>
      <w:r>
        <w:rPr>
          <w:rFonts w:hint="eastAsia" w:ascii="仿宋_GB2312" w:hAnsi="仿宋_GB2312" w:eastAsia="仿宋_GB2312" w:cs="仿宋_GB2312"/>
          <w:color w:val="auto"/>
          <w:sz w:val="32"/>
          <w:szCs w:val="32"/>
        </w:rPr>
        <w:t>均予以承认并全部承担其产生的所有权利和义务。</w:t>
      </w:r>
    </w:p>
    <w:p w14:paraId="3D8B6225">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委托期限：自本委托书签发之日起至上述事项办完为止。</w:t>
      </w:r>
    </w:p>
    <w:p w14:paraId="2B497A2B">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受托人</w:t>
      </w:r>
      <w:r>
        <w:rPr>
          <w:rFonts w:hint="eastAsia" w:ascii="仿宋_GB2312" w:hAnsi="仿宋_GB2312" w:eastAsia="仿宋_GB2312" w:cs="仿宋_GB2312"/>
          <w:color w:val="auto"/>
          <w:sz w:val="32"/>
          <w:szCs w:val="32"/>
        </w:rPr>
        <w:t>无权转委托权。</w:t>
      </w:r>
    </w:p>
    <w:p w14:paraId="42604F3E">
      <w:pPr>
        <w:keepLines w:val="0"/>
        <w:pageBreakBefore w:val="0"/>
        <w:kinsoku/>
        <w:wordWrap w:val="0"/>
        <w:overflowPunct w:val="0"/>
        <w:topLinePunct w:val="0"/>
        <w:autoSpaceDE/>
        <w:autoSpaceDN/>
        <w:bidi w:val="0"/>
        <w:snapToGrid/>
        <w:spacing w:line="560" w:lineRule="atLeas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特此委托</w:t>
      </w:r>
      <w:r>
        <w:rPr>
          <w:rFonts w:hint="eastAsia" w:ascii="仿宋_GB2312" w:hAnsi="仿宋_GB2312" w:eastAsia="仿宋_GB2312" w:cs="仿宋_GB2312"/>
          <w:color w:val="auto"/>
          <w:sz w:val="32"/>
          <w:szCs w:val="32"/>
          <w:lang w:eastAsia="zh-CN"/>
        </w:rPr>
        <w:t>。</w:t>
      </w:r>
    </w:p>
    <w:p w14:paraId="7C4B817E">
      <w:pPr>
        <w:pStyle w:val="8"/>
        <w:keepLines w:val="0"/>
        <w:pageBreakBefore w:val="0"/>
        <w:kinsoku/>
        <w:wordWrap w:val="0"/>
        <w:overflowPunct w:val="0"/>
        <w:topLinePunct w:val="0"/>
        <w:autoSpaceDE/>
        <w:autoSpaceDN/>
        <w:bidi w:val="0"/>
        <w:snapToGrid/>
        <w:spacing w:line="560" w:lineRule="atLeast"/>
        <w:ind w:firstLine="3840" w:firstLineChars="1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委托人：</w:t>
      </w:r>
      <w:r>
        <w:rPr>
          <w:rFonts w:hint="eastAsia" w:ascii="仿宋_GB2312" w:hAnsi="仿宋_GB2312" w:eastAsia="仿宋_GB2312" w:cs="仿宋_GB2312"/>
          <w:color w:val="auto"/>
          <w:sz w:val="32"/>
          <w:szCs w:val="32"/>
        </w:rPr>
        <w:t>（盖章）</w:t>
      </w:r>
      <w:r>
        <w:rPr>
          <w:rFonts w:hint="eastAsia" w:ascii="仿宋_GB2312" w:hAnsi="仿宋_GB2312" w:eastAsia="仿宋_GB2312" w:cs="仿宋_GB2312"/>
          <w:color w:val="auto"/>
          <w:sz w:val="32"/>
          <w:szCs w:val="32"/>
          <w:lang w:val="en-US" w:eastAsia="zh-CN"/>
        </w:rPr>
        <w:t xml:space="preserve">            </w:t>
      </w:r>
    </w:p>
    <w:p w14:paraId="4299DA68">
      <w:pPr>
        <w:keepLines w:val="0"/>
        <w:pageBreakBefore w:val="0"/>
        <w:kinsoku/>
        <w:wordWrap w:val="0"/>
        <w:overflowPunct w:val="0"/>
        <w:topLinePunct w:val="0"/>
        <w:autoSpaceDE/>
        <w:autoSpaceDN/>
        <w:bidi w:val="0"/>
        <w:snapToGrid/>
        <w:spacing w:line="560" w:lineRule="atLeast"/>
        <w:ind w:firstLine="3520" w:firstLineChars="11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委托日期：                    </w:t>
      </w:r>
    </w:p>
    <w:p w14:paraId="5A4F456C">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eastAsia="仿宋_GB2312" w:cs="仿宋_GB2312"/>
          <w:b w:val="0"/>
          <w:bCs/>
          <w:color w:val="auto"/>
          <w:kern w:val="2"/>
          <w:sz w:val="32"/>
          <w:szCs w:val="32"/>
          <w:lang w:val="en-US" w:eastAsia="zh-CN"/>
        </w:rPr>
        <w:t>受托人</w:t>
      </w:r>
      <w:r>
        <w:rPr>
          <w:rFonts w:hint="eastAsia" w:ascii="仿宋_GB2312" w:hAnsi="仿宋_GB2312" w:eastAsia="仿宋_GB2312" w:cs="仿宋_GB2312"/>
          <w:color w:val="auto"/>
          <w:sz w:val="32"/>
          <w:szCs w:val="32"/>
        </w:rPr>
        <w:t>身份证复印件</w:t>
      </w:r>
    </w:p>
    <w:p w14:paraId="29D6C550">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rPr>
        <w:t>：</w:t>
      </w:r>
    </w:p>
    <w:p w14:paraId="08FC580B">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color w:val="auto"/>
          <w:sz w:val="32"/>
          <w:szCs w:val="32"/>
        </w:rPr>
        <w:t>联系方式：</w:t>
      </w:r>
    </w:p>
    <w:p w14:paraId="3793BE45">
      <w:pPr>
        <w:pStyle w:val="58"/>
        <w:keepLines w:val="0"/>
        <w:pageBreakBefore w:val="0"/>
        <w:widowControl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kern w:val="2"/>
          <w:sz w:val="32"/>
          <w:szCs w:val="32"/>
        </w:rPr>
        <w:t>注：</w:t>
      </w:r>
      <w:r>
        <w:rPr>
          <w:rFonts w:hint="eastAsia" w:ascii="仿宋_GB2312" w:hAnsi="仿宋_GB2312" w:eastAsia="仿宋_GB2312" w:cs="仿宋_GB2312"/>
          <w:b w:val="0"/>
          <w:bCs/>
          <w:color w:val="auto"/>
          <w:kern w:val="2"/>
          <w:sz w:val="32"/>
          <w:szCs w:val="32"/>
          <w:lang w:val="en-US" w:eastAsia="zh-CN"/>
        </w:rPr>
        <w:t>1.受托人</w:t>
      </w:r>
      <w:r>
        <w:rPr>
          <w:rFonts w:hint="eastAsia" w:ascii="仿宋_GB2312" w:hAnsi="仿宋_GB2312" w:eastAsia="仿宋_GB2312" w:cs="仿宋_GB2312"/>
          <w:b w:val="0"/>
          <w:bCs/>
          <w:color w:val="auto"/>
          <w:kern w:val="2"/>
          <w:sz w:val="32"/>
          <w:szCs w:val="32"/>
        </w:rPr>
        <w:t>身份证复印件须加盖单位公章。</w:t>
      </w:r>
    </w:p>
    <w:p w14:paraId="2B0B22C9">
      <w:pPr>
        <w:pStyle w:val="58"/>
        <w:keepLines w:val="0"/>
        <w:pageBreakBefore w:val="0"/>
        <w:widowControl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b w:val="0"/>
          <w:bCs/>
          <w:color w:val="auto"/>
          <w:kern w:val="2"/>
          <w:sz w:val="32"/>
          <w:szCs w:val="32"/>
          <w:lang w:val="en-US" w:eastAsia="zh-CN"/>
        </w:rPr>
        <w:t>2.</w:t>
      </w:r>
      <w:r>
        <w:rPr>
          <w:rFonts w:hint="eastAsia" w:ascii="仿宋_GB2312" w:hAnsi="仿宋_GB2312" w:eastAsia="仿宋_GB2312" w:cs="仿宋_GB2312"/>
          <w:b w:val="0"/>
          <w:bCs/>
          <w:color w:val="auto"/>
          <w:kern w:val="2"/>
          <w:sz w:val="32"/>
          <w:szCs w:val="32"/>
        </w:rPr>
        <w:t>法定代表人（负责人）亲自</w:t>
      </w:r>
      <w:r>
        <w:rPr>
          <w:rFonts w:hint="eastAsia" w:ascii="仿宋_GB2312" w:hAnsi="仿宋_GB2312" w:eastAsia="仿宋_GB2312" w:cs="仿宋_GB2312"/>
          <w:b w:val="0"/>
          <w:bCs/>
          <w:color w:val="auto"/>
          <w:kern w:val="2"/>
          <w:sz w:val="32"/>
          <w:szCs w:val="32"/>
          <w:lang w:val="en-US" w:eastAsia="zh-CN"/>
        </w:rPr>
        <w:t>参与</w:t>
      </w:r>
      <w:r>
        <w:rPr>
          <w:rFonts w:hint="eastAsia" w:ascii="仿宋_GB2312" w:hAnsi="仿宋_GB2312" w:eastAsia="仿宋_GB2312" w:cs="仿宋_GB2312"/>
          <w:b w:val="0"/>
          <w:bCs/>
          <w:color w:val="auto"/>
          <w:kern w:val="2"/>
          <w:sz w:val="32"/>
          <w:szCs w:val="32"/>
        </w:rPr>
        <w:t>投标</w:t>
      </w:r>
      <w:r>
        <w:rPr>
          <w:rFonts w:hint="eastAsia" w:ascii="仿宋_GB2312" w:hAnsi="仿宋_GB2312" w:eastAsia="仿宋_GB2312" w:cs="仿宋_GB2312"/>
          <w:b w:val="0"/>
          <w:bCs/>
          <w:color w:val="auto"/>
          <w:kern w:val="2"/>
          <w:sz w:val="32"/>
          <w:szCs w:val="32"/>
          <w:lang w:val="en-US" w:eastAsia="zh-CN"/>
        </w:rPr>
        <w:t>活动不</w:t>
      </w:r>
      <w:r>
        <w:rPr>
          <w:rFonts w:hint="eastAsia" w:ascii="仿宋_GB2312" w:hAnsi="仿宋_GB2312" w:eastAsia="仿宋_GB2312" w:cs="仿宋_GB2312"/>
          <w:b w:val="0"/>
          <w:bCs/>
          <w:color w:val="auto"/>
          <w:kern w:val="2"/>
          <w:sz w:val="32"/>
          <w:szCs w:val="32"/>
        </w:rPr>
        <w:t>适用。</w:t>
      </w:r>
    </w:p>
    <w:p w14:paraId="3560C0FE">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Cs/>
          <w:color w:val="auto"/>
          <w:kern w:val="2"/>
          <w:sz w:val="32"/>
          <w:szCs w:val="32"/>
        </w:rPr>
        <w:br w:type="page"/>
      </w:r>
      <w:bookmarkStart w:id="29" w:name="_Toc17243"/>
    </w:p>
    <w:p w14:paraId="001769AA">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30" w:name="_Toc81784941"/>
      <w:r>
        <w:rPr>
          <w:rFonts w:hint="eastAsia" w:ascii="仿宋_GB2312" w:hAnsi="仿宋_GB2312" w:eastAsia="仿宋_GB2312" w:cs="仿宋_GB2312"/>
          <w:b/>
          <w:bCs/>
          <w:color w:val="auto"/>
          <w:kern w:val="2"/>
          <w:sz w:val="32"/>
          <w:szCs w:val="32"/>
          <w:lang w:val="en-US" w:eastAsia="zh-CN" w:bidi="ar-SA"/>
        </w:rPr>
        <w:t>四、关于参选文件真实性声明函</w:t>
      </w:r>
      <w:bookmarkEnd w:id="30"/>
    </w:p>
    <w:p w14:paraId="73D1CD34">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rPr>
      </w:pPr>
    </w:p>
    <w:p w14:paraId="1F243431">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本</w:t>
      </w:r>
      <w:r>
        <w:rPr>
          <w:rFonts w:hint="eastAsia" w:ascii="仿宋_GB2312" w:hAnsi="仿宋_GB2312" w:eastAsia="仿宋_GB2312" w:cs="仿宋_GB2312"/>
          <w:bCs/>
          <w:color w:val="auto"/>
          <w:sz w:val="32"/>
          <w:szCs w:val="32"/>
          <w:lang w:val="en-US" w:eastAsia="zh-CN"/>
        </w:rPr>
        <w:t>单位参与本次参选活动</w:t>
      </w:r>
      <w:r>
        <w:rPr>
          <w:rFonts w:hint="eastAsia" w:ascii="仿宋_GB2312" w:hAnsi="仿宋_GB2312" w:eastAsia="仿宋_GB2312" w:cs="仿宋_GB2312"/>
          <w:bCs/>
          <w:color w:val="auto"/>
          <w:sz w:val="32"/>
          <w:szCs w:val="32"/>
        </w:rPr>
        <w:t>所提交的</w:t>
      </w:r>
      <w:r>
        <w:rPr>
          <w:rFonts w:hint="eastAsia" w:ascii="仿宋_GB2312" w:hAnsi="仿宋_GB2312" w:eastAsia="仿宋_GB2312" w:cs="仿宋_GB2312"/>
          <w:bCs/>
          <w:color w:val="auto"/>
          <w:sz w:val="32"/>
          <w:szCs w:val="32"/>
          <w:lang w:val="en-US" w:eastAsia="zh-CN"/>
        </w:rPr>
        <w:t>参选</w:t>
      </w:r>
      <w:r>
        <w:rPr>
          <w:rFonts w:hint="eastAsia" w:ascii="仿宋_GB2312" w:hAnsi="仿宋_GB2312" w:eastAsia="仿宋_GB2312" w:cs="仿宋_GB2312"/>
          <w:bCs/>
          <w:color w:val="auto"/>
          <w:sz w:val="32"/>
          <w:szCs w:val="32"/>
        </w:rPr>
        <w:t>文件中所有</w:t>
      </w:r>
      <w:r>
        <w:rPr>
          <w:rFonts w:hint="eastAsia" w:ascii="仿宋_GB2312" w:hAnsi="仿宋_GB2312" w:eastAsia="仿宋_GB2312" w:cs="仿宋_GB2312"/>
          <w:bCs/>
          <w:color w:val="auto"/>
          <w:sz w:val="32"/>
          <w:szCs w:val="32"/>
          <w:lang w:val="en-US" w:eastAsia="zh-CN"/>
        </w:rPr>
        <w:t>证明文件</w:t>
      </w:r>
      <w:r>
        <w:rPr>
          <w:rFonts w:hint="eastAsia" w:ascii="仿宋_GB2312" w:hAnsi="仿宋_GB2312" w:eastAsia="仿宋_GB2312" w:cs="仿宋_GB2312"/>
          <w:bCs/>
          <w:color w:val="auto"/>
          <w:sz w:val="32"/>
          <w:szCs w:val="32"/>
        </w:rPr>
        <w:t>和陈述均是真实、</w:t>
      </w:r>
      <w:r>
        <w:rPr>
          <w:rFonts w:hint="eastAsia" w:ascii="仿宋_GB2312" w:hAnsi="仿宋_GB2312" w:eastAsia="仿宋_GB2312" w:cs="仿宋_GB2312"/>
          <w:bCs/>
          <w:color w:val="auto"/>
          <w:sz w:val="32"/>
          <w:szCs w:val="32"/>
          <w:lang w:val="en-US" w:eastAsia="zh-CN"/>
        </w:rPr>
        <w:t>完整、</w:t>
      </w:r>
      <w:r>
        <w:rPr>
          <w:rFonts w:hint="eastAsia" w:ascii="仿宋_GB2312" w:hAnsi="仿宋_GB2312" w:eastAsia="仿宋_GB2312" w:cs="仿宋_GB2312"/>
          <w:bCs/>
          <w:color w:val="auto"/>
          <w:sz w:val="32"/>
          <w:szCs w:val="32"/>
        </w:rPr>
        <w:t>准确的。若与真实情况不符，本单位愿意承担由此而产生的一切</w:t>
      </w:r>
      <w:r>
        <w:rPr>
          <w:rFonts w:hint="eastAsia" w:ascii="仿宋_GB2312" w:hAnsi="仿宋_GB2312" w:eastAsia="仿宋_GB2312" w:cs="仿宋_GB2312"/>
          <w:bCs/>
          <w:color w:val="auto"/>
          <w:sz w:val="32"/>
          <w:szCs w:val="32"/>
          <w:lang w:val="en-US" w:eastAsia="zh-CN"/>
        </w:rPr>
        <w:t>不利</w:t>
      </w:r>
      <w:r>
        <w:rPr>
          <w:rFonts w:hint="eastAsia" w:ascii="仿宋_GB2312" w:hAnsi="仿宋_GB2312" w:eastAsia="仿宋_GB2312" w:cs="仿宋_GB2312"/>
          <w:bCs/>
          <w:color w:val="auto"/>
          <w:sz w:val="32"/>
          <w:szCs w:val="32"/>
        </w:rPr>
        <w:t>后果。</w:t>
      </w:r>
    </w:p>
    <w:bookmarkEnd w:id="29"/>
    <w:p w14:paraId="450A1610">
      <w:pPr>
        <w:keepLines w:val="0"/>
        <w:pageBreakBefore w:val="0"/>
        <w:widowControl w:val="0"/>
        <w:numPr>
          <w:ilvl w:val="0"/>
          <w:numId w:val="0"/>
        </w:numPr>
        <w:kinsoku/>
        <w:wordWrap w:val="0"/>
        <w:overflowPunct w:val="0"/>
        <w:topLinePunct w:val="0"/>
        <w:autoSpaceDE/>
        <w:autoSpaceDN/>
        <w:bidi w:val="0"/>
        <w:snapToGrid/>
        <w:spacing w:line="560" w:lineRule="atLeast"/>
        <w:jc w:val="both"/>
        <w:rPr>
          <w:rFonts w:hint="eastAsia" w:ascii="仿宋_GB2312" w:hAnsi="仿宋_GB2312" w:eastAsia="仿宋_GB2312" w:cs="仿宋_GB2312"/>
          <w:b/>
          <w:bCs/>
          <w:color w:val="auto"/>
          <w:kern w:val="2"/>
          <w:sz w:val="32"/>
          <w:szCs w:val="32"/>
          <w:lang w:val="en-US" w:eastAsia="zh-CN" w:bidi="ar-SA"/>
        </w:rPr>
      </w:pPr>
    </w:p>
    <w:p w14:paraId="5C4222A2">
      <w:pPr>
        <w:keepLines w:val="0"/>
        <w:pageBreakBefore w:val="0"/>
        <w:widowControl w:val="0"/>
        <w:numPr>
          <w:ilvl w:val="0"/>
          <w:numId w:val="0"/>
        </w:numPr>
        <w:kinsoku/>
        <w:wordWrap w:val="0"/>
        <w:overflowPunct w:val="0"/>
        <w:topLinePunct w:val="0"/>
        <w:autoSpaceDE/>
        <w:autoSpaceDN/>
        <w:bidi w:val="0"/>
        <w:snapToGrid/>
        <w:spacing w:line="560" w:lineRule="atLeast"/>
        <w:jc w:val="both"/>
        <w:rPr>
          <w:rFonts w:hint="eastAsia" w:ascii="仿宋_GB2312" w:hAnsi="仿宋_GB2312" w:eastAsia="仿宋_GB2312" w:cs="仿宋_GB2312"/>
          <w:b/>
          <w:bCs/>
          <w:color w:val="auto"/>
          <w:kern w:val="2"/>
          <w:sz w:val="32"/>
          <w:szCs w:val="32"/>
          <w:lang w:val="en-US" w:eastAsia="zh-CN" w:bidi="ar-SA"/>
        </w:rPr>
      </w:pPr>
    </w:p>
    <w:p w14:paraId="1D37296F">
      <w:pPr>
        <w:keepLines w:val="0"/>
        <w:pageBreakBefore w:val="0"/>
        <w:kinsoku/>
        <w:wordWrap w:val="0"/>
        <w:overflowPunct w:val="0"/>
        <w:topLinePunct w:val="0"/>
        <w:autoSpaceDE/>
        <w:autoSpaceDN/>
        <w:bidi w:val="0"/>
        <w:snapToGrid/>
        <w:spacing w:line="560" w:lineRule="atLeast"/>
        <w:ind w:firstLine="4480" w:firstLineChars="1400"/>
        <w:jc w:val="left"/>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参 选 人：（公章）</w:t>
      </w:r>
    </w:p>
    <w:p w14:paraId="47A74FEC">
      <w:pPr>
        <w:keepLines w:val="0"/>
        <w:pageBreakBefore w:val="0"/>
        <w:kinsoku/>
        <w:wordWrap w:val="0"/>
        <w:overflowPunct w:val="0"/>
        <w:topLinePunct w:val="0"/>
        <w:autoSpaceDE/>
        <w:autoSpaceDN/>
        <w:bidi w:val="0"/>
        <w:snapToGrid/>
        <w:spacing w:line="560" w:lineRule="atLeast"/>
        <w:ind w:firstLine="4480" w:firstLineChars="1400"/>
        <w:jc w:val="left"/>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声明日期：</w:t>
      </w:r>
    </w:p>
    <w:p w14:paraId="695DEB4E">
      <w:pPr>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br w:type="page"/>
      </w:r>
    </w:p>
    <w:p w14:paraId="4C2EA707">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五、其他材料（另附）</w:t>
      </w:r>
    </w:p>
    <w:p w14:paraId="25FE9349">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（按照比选文件规定和要求自行准备相关资格审查、综合评审文件材料，制作相应的检索目录）</w:t>
      </w:r>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5D785">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CC47">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A193F">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DA193F">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78C5">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EC595">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51EC595">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5D32">
    <w:pPr>
      <w:pStyle w:val="20"/>
      <w:widowControl w:val="0"/>
      <w:pBdr>
        <w:top w:val="none" w:color="auto" w:sz="0" w:space="1"/>
        <w:left w:val="none" w:color="auto" w:sz="0" w:space="4"/>
        <w:bottom w:val="none" w:color="auto" w:sz="0" w:space="1"/>
        <w:right w:val="none" w:color="auto" w:sz="0" w:space="4"/>
        <w:between w:val="none" w:color="auto" w:sz="0" w:space="0"/>
      </w:pBdr>
      <w:snapToGrid w:val="0"/>
      <w:jc w:val="both"/>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10AC3">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A62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A97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DB099"/>
    <w:multiLevelType w:val="singleLevel"/>
    <w:tmpl w:val="A72DB099"/>
    <w:lvl w:ilvl="0" w:tentative="0">
      <w:start w:val="3"/>
      <w:numFmt w:val="decimal"/>
      <w:suff w:val="space"/>
      <w:lvlText w:val="%1."/>
      <w:lvlJc w:val="left"/>
    </w:lvl>
  </w:abstractNum>
  <w:abstractNum w:abstractNumId="1">
    <w:nsid w:val="B37AFAA4"/>
    <w:multiLevelType w:val="singleLevel"/>
    <w:tmpl w:val="B37AFAA4"/>
    <w:lvl w:ilvl="0" w:tentative="0">
      <w:start w:val="2"/>
      <w:numFmt w:val="decimal"/>
      <w:suff w:val="space"/>
      <w:lvlText w:val="%1."/>
      <w:lvlJc w:val="left"/>
    </w:lvl>
  </w:abstractNum>
  <w:abstractNum w:abstractNumId="2">
    <w:nsid w:val="6BBC78DC"/>
    <w:multiLevelType w:val="singleLevel"/>
    <w:tmpl w:val="6BBC78DC"/>
    <w:lvl w:ilvl="0" w:tentative="0">
      <w:start w:val="1"/>
      <w:numFmt w:val="decimal"/>
      <w:suff w:val="nothing"/>
      <w:lvlText w:val="%1."/>
      <w:lvlJc w:val="left"/>
      <w:pPr>
        <w:ind w:left="425" w:hanging="425"/>
      </w:pPr>
      <w:rPr>
        <w:rFonts w:hint="default"/>
        <w:sz w:val="32"/>
        <w:szCs w:val="32"/>
      </w:rPr>
    </w:lvl>
  </w:abstractNum>
  <w:abstractNum w:abstractNumId="3">
    <w:nsid w:val="72A55C80"/>
    <w:multiLevelType w:val="singleLevel"/>
    <w:tmpl w:val="72A55C80"/>
    <w:lvl w:ilvl="0" w:tentative="0">
      <w:start w:val="1"/>
      <w:numFmt w:val="decimal"/>
      <w:suff w:val="nothing"/>
      <w:lvlText w:val="%1."/>
      <w:lvlJc w:val="left"/>
      <w:pPr>
        <w:ind w:left="425" w:hanging="425"/>
      </w:pPr>
      <w:rPr>
        <w:rFonts w:hint="default"/>
        <w:sz w:val="32"/>
        <w:szCs w:val="32"/>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MmE0M2I5NDEyNjVlOTgyODAwNTkyOGFiNmU3MjA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48CF"/>
    <w:rsid w:val="002C6602"/>
    <w:rsid w:val="002C72EF"/>
    <w:rsid w:val="002D269B"/>
    <w:rsid w:val="002D3DB1"/>
    <w:rsid w:val="002F214E"/>
    <w:rsid w:val="003031CC"/>
    <w:rsid w:val="0032075E"/>
    <w:rsid w:val="00322625"/>
    <w:rsid w:val="003448F6"/>
    <w:rsid w:val="00345C7D"/>
    <w:rsid w:val="00346052"/>
    <w:rsid w:val="00350E09"/>
    <w:rsid w:val="003532FE"/>
    <w:rsid w:val="00364380"/>
    <w:rsid w:val="00367151"/>
    <w:rsid w:val="00387B17"/>
    <w:rsid w:val="00396368"/>
    <w:rsid w:val="003B0727"/>
    <w:rsid w:val="003B2922"/>
    <w:rsid w:val="003B5818"/>
    <w:rsid w:val="003C0EFE"/>
    <w:rsid w:val="003C2ED0"/>
    <w:rsid w:val="003C510B"/>
    <w:rsid w:val="003C76C4"/>
    <w:rsid w:val="003D16C0"/>
    <w:rsid w:val="003F1955"/>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5E0A"/>
    <w:rsid w:val="00856035"/>
    <w:rsid w:val="0086473D"/>
    <w:rsid w:val="00864A2A"/>
    <w:rsid w:val="00864C1F"/>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D01523"/>
    <w:rsid w:val="00D039E4"/>
    <w:rsid w:val="00D03D86"/>
    <w:rsid w:val="00D1160D"/>
    <w:rsid w:val="00D14BC9"/>
    <w:rsid w:val="00D25D6C"/>
    <w:rsid w:val="00D41AE8"/>
    <w:rsid w:val="00D42B1D"/>
    <w:rsid w:val="00D4595F"/>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47778C"/>
    <w:rsid w:val="014B63DA"/>
    <w:rsid w:val="01522A06"/>
    <w:rsid w:val="01577FD3"/>
    <w:rsid w:val="0171244A"/>
    <w:rsid w:val="017B0EFC"/>
    <w:rsid w:val="018934FB"/>
    <w:rsid w:val="018F1D3D"/>
    <w:rsid w:val="019A01D8"/>
    <w:rsid w:val="01B377B2"/>
    <w:rsid w:val="01BF37C7"/>
    <w:rsid w:val="01C67901"/>
    <w:rsid w:val="01E266D2"/>
    <w:rsid w:val="01E30D70"/>
    <w:rsid w:val="01E561D5"/>
    <w:rsid w:val="02062D92"/>
    <w:rsid w:val="02144A0D"/>
    <w:rsid w:val="023B6BC5"/>
    <w:rsid w:val="02453754"/>
    <w:rsid w:val="02557B17"/>
    <w:rsid w:val="025D604B"/>
    <w:rsid w:val="026305F6"/>
    <w:rsid w:val="026558D4"/>
    <w:rsid w:val="027110AD"/>
    <w:rsid w:val="027E16CE"/>
    <w:rsid w:val="02810A7C"/>
    <w:rsid w:val="02A209F3"/>
    <w:rsid w:val="02B218A4"/>
    <w:rsid w:val="02B336C9"/>
    <w:rsid w:val="02B60B1A"/>
    <w:rsid w:val="02D04596"/>
    <w:rsid w:val="02D5250B"/>
    <w:rsid w:val="02DA5D23"/>
    <w:rsid w:val="030E439F"/>
    <w:rsid w:val="03170DFC"/>
    <w:rsid w:val="031F4373"/>
    <w:rsid w:val="032A1453"/>
    <w:rsid w:val="032E6045"/>
    <w:rsid w:val="0330267E"/>
    <w:rsid w:val="03317123"/>
    <w:rsid w:val="0342095A"/>
    <w:rsid w:val="03433F84"/>
    <w:rsid w:val="034F1CC1"/>
    <w:rsid w:val="037167E7"/>
    <w:rsid w:val="037203C5"/>
    <w:rsid w:val="0379443F"/>
    <w:rsid w:val="038B1487"/>
    <w:rsid w:val="03AB417D"/>
    <w:rsid w:val="03BF5108"/>
    <w:rsid w:val="03C03826"/>
    <w:rsid w:val="03D34E1A"/>
    <w:rsid w:val="03F05872"/>
    <w:rsid w:val="042A37F0"/>
    <w:rsid w:val="042E5C95"/>
    <w:rsid w:val="04430447"/>
    <w:rsid w:val="044D23F5"/>
    <w:rsid w:val="044D7086"/>
    <w:rsid w:val="049113A1"/>
    <w:rsid w:val="049502F0"/>
    <w:rsid w:val="049820AD"/>
    <w:rsid w:val="04A86794"/>
    <w:rsid w:val="04A92FBF"/>
    <w:rsid w:val="04F901EE"/>
    <w:rsid w:val="04FA5037"/>
    <w:rsid w:val="050677C6"/>
    <w:rsid w:val="050822C5"/>
    <w:rsid w:val="05094D59"/>
    <w:rsid w:val="051A51DF"/>
    <w:rsid w:val="05212F54"/>
    <w:rsid w:val="05504C67"/>
    <w:rsid w:val="05567E58"/>
    <w:rsid w:val="0567786F"/>
    <w:rsid w:val="056F2E0E"/>
    <w:rsid w:val="056F5716"/>
    <w:rsid w:val="05731C06"/>
    <w:rsid w:val="057F30E2"/>
    <w:rsid w:val="059B712F"/>
    <w:rsid w:val="05AE154D"/>
    <w:rsid w:val="05B2077F"/>
    <w:rsid w:val="05C02FE7"/>
    <w:rsid w:val="05DC421B"/>
    <w:rsid w:val="05FA539F"/>
    <w:rsid w:val="05FC5DAB"/>
    <w:rsid w:val="060043D3"/>
    <w:rsid w:val="06071402"/>
    <w:rsid w:val="0609125E"/>
    <w:rsid w:val="061B5A7A"/>
    <w:rsid w:val="061F001A"/>
    <w:rsid w:val="062C76ED"/>
    <w:rsid w:val="06407B57"/>
    <w:rsid w:val="06456265"/>
    <w:rsid w:val="064E627E"/>
    <w:rsid w:val="06621C09"/>
    <w:rsid w:val="066456F7"/>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907C6B"/>
    <w:rsid w:val="0892699A"/>
    <w:rsid w:val="089D7C92"/>
    <w:rsid w:val="08AC25CB"/>
    <w:rsid w:val="08B35558"/>
    <w:rsid w:val="08C03ABF"/>
    <w:rsid w:val="08D20622"/>
    <w:rsid w:val="08D51F99"/>
    <w:rsid w:val="08E33EE3"/>
    <w:rsid w:val="08E76DF3"/>
    <w:rsid w:val="08E77F9A"/>
    <w:rsid w:val="0907217D"/>
    <w:rsid w:val="09097F7F"/>
    <w:rsid w:val="093D74D6"/>
    <w:rsid w:val="093D7D29"/>
    <w:rsid w:val="0955209F"/>
    <w:rsid w:val="09562A81"/>
    <w:rsid w:val="09640205"/>
    <w:rsid w:val="0966277A"/>
    <w:rsid w:val="096A04BC"/>
    <w:rsid w:val="097963AA"/>
    <w:rsid w:val="09985A97"/>
    <w:rsid w:val="09A3752A"/>
    <w:rsid w:val="09A40D87"/>
    <w:rsid w:val="09BC3524"/>
    <w:rsid w:val="09D607F3"/>
    <w:rsid w:val="09E87633"/>
    <w:rsid w:val="09EB30CC"/>
    <w:rsid w:val="09F71624"/>
    <w:rsid w:val="0A011493"/>
    <w:rsid w:val="0A04030C"/>
    <w:rsid w:val="0A0A218D"/>
    <w:rsid w:val="0A195A3E"/>
    <w:rsid w:val="0A291D10"/>
    <w:rsid w:val="0A3960E0"/>
    <w:rsid w:val="0A4505E1"/>
    <w:rsid w:val="0A4800D1"/>
    <w:rsid w:val="0A4E4E55"/>
    <w:rsid w:val="0A851144"/>
    <w:rsid w:val="0A903623"/>
    <w:rsid w:val="0A924C41"/>
    <w:rsid w:val="0AA255E1"/>
    <w:rsid w:val="0AA947CA"/>
    <w:rsid w:val="0AB45767"/>
    <w:rsid w:val="0AD41965"/>
    <w:rsid w:val="0ADA59C5"/>
    <w:rsid w:val="0ADF4857"/>
    <w:rsid w:val="0B34518E"/>
    <w:rsid w:val="0B430CAA"/>
    <w:rsid w:val="0B784D07"/>
    <w:rsid w:val="0B7C7990"/>
    <w:rsid w:val="0B804877"/>
    <w:rsid w:val="0B88466D"/>
    <w:rsid w:val="0BAE4D7B"/>
    <w:rsid w:val="0BCE022F"/>
    <w:rsid w:val="0BD748B4"/>
    <w:rsid w:val="0BE1508B"/>
    <w:rsid w:val="0BE870ED"/>
    <w:rsid w:val="0BF35F2D"/>
    <w:rsid w:val="0C0B13B7"/>
    <w:rsid w:val="0C122745"/>
    <w:rsid w:val="0C136F68"/>
    <w:rsid w:val="0C152235"/>
    <w:rsid w:val="0C1D747E"/>
    <w:rsid w:val="0C693884"/>
    <w:rsid w:val="0C7A1229"/>
    <w:rsid w:val="0C9F5E74"/>
    <w:rsid w:val="0CB55175"/>
    <w:rsid w:val="0CC53C5B"/>
    <w:rsid w:val="0CF32FF4"/>
    <w:rsid w:val="0D015536"/>
    <w:rsid w:val="0D081E01"/>
    <w:rsid w:val="0D145E24"/>
    <w:rsid w:val="0D15511D"/>
    <w:rsid w:val="0D211A66"/>
    <w:rsid w:val="0D314E4D"/>
    <w:rsid w:val="0D53672A"/>
    <w:rsid w:val="0D666CF8"/>
    <w:rsid w:val="0DAD4F19"/>
    <w:rsid w:val="0DBB6067"/>
    <w:rsid w:val="0DD36B7F"/>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5057A7"/>
    <w:rsid w:val="0E5F743D"/>
    <w:rsid w:val="0E6E46FD"/>
    <w:rsid w:val="0E7057D3"/>
    <w:rsid w:val="0E9E344E"/>
    <w:rsid w:val="0EC01CAD"/>
    <w:rsid w:val="0ED52B47"/>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C5AAE"/>
    <w:rsid w:val="0FD22917"/>
    <w:rsid w:val="0FD32938"/>
    <w:rsid w:val="0FEC3623"/>
    <w:rsid w:val="10084600"/>
    <w:rsid w:val="10143BE6"/>
    <w:rsid w:val="102E2EDB"/>
    <w:rsid w:val="10511036"/>
    <w:rsid w:val="10582192"/>
    <w:rsid w:val="105F2E0B"/>
    <w:rsid w:val="10786CA5"/>
    <w:rsid w:val="10792ECD"/>
    <w:rsid w:val="107B5304"/>
    <w:rsid w:val="109978FA"/>
    <w:rsid w:val="10AD1D66"/>
    <w:rsid w:val="10B32711"/>
    <w:rsid w:val="10D0328F"/>
    <w:rsid w:val="10FF3EB3"/>
    <w:rsid w:val="11005262"/>
    <w:rsid w:val="110A4333"/>
    <w:rsid w:val="110F7B9B"/>
    <w:rsid w:val="111451B1"/>
    <w:rsid w:val="111F5990"/>
    <w:rsid w:val="113A0A1A"/>
    <w:rsid w:val="1167671A"/>
    <w:rsid w:val="11A472FC"/>
    <w:rsid w:val="11AA55A7"/>
    <w:rsid w:val="11B063B0"/>
    <w:rsid w:val="11C10E9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A7D02"/>
    <w:rsid w:val="133A2B6A"/>
    <w:rsid w:val="133E2072"/>
    <w:rsid w:val="13443E2F"/>
    <w:rsid w:val="13594772"/>
    <w:rsid w:val="13935E9F"/>
    <w:rsid w:val="13AD66D1"/>
    <w:rsid w:val="13AF028F"/>
    <w:rsid w:val="13B007B4"/>
    <w:rsid w:val="13CA5BD9"/>
    <w:rsid w:val="13D80718"/>
    <w:rsid w:val="14031F8C"/>
    <w:rsid w:val="1404367A"/>
    <w:rsid w:val="140937EE"/>
    <w:rsid w:val="14096C37"/>
    <w:rsid w:val="14107C94"/>
    <w:rsid w:val="14554DDF"/>
    <w:rsid w:val="147E5046"/>
    <w:rsid w:val="149A3C1F"/>
    <w:rsid w:val="14B44CE1"/>
    <w:rsid w:val="14E86739"/>
    <w:rsid w:val="14F055ED"/>
    <w:rsid w:val="15073AD9"/>
    <w:rsid w:val="15233C15"/>
    <w:rsid w:val="154124DE"/>
    <w:rsid w:val="15510C81"/>
    <w:rsid w:val="156C3FC0"/>
    <w:rsid w:val="156D5113"/>
    <w:rsid w:val="157E05B3"/>
    <w:rsid w:val="15853F88"/>
    <w:rsid w:val="159C5D09"/>
    <w:rsid w:val="15A54839"/>
    <w:rsid w:val="15AA1458"/>
    <w:rsid w:val="15AA1C40"/>
    <w:rsid w:val="15B260E2"/>
    <w:rsid w:val="15CA437E"/>
    <w:rsid w:val="15D07FFA"/>
    <w:rsid w:val="15D13C8F"/>
    <w:rsid w:val="16106380"/>
    <w:rsid w:val="1633028D"/>
    <w:rsid w:val="164E4CC1"/>
    <w:rsid w:val="164F5F6D"/>
    <w:rsid w:val="16514BA0"/>
    <w:rsid w:val="16552233"/>
    <w:rsid w:val="165A02A9"/>
    <w:rsid w:val="165E3157"/>
    <w:rsid w:val="166714E7"/>
    <w:rsid w:val="166E5566"/>
    <w:rsid w:val="166F7483"/>
    <w:rsid w:val="16702E8A"/>
    <w:rsid w:val="16956C0D"/>
    <w:rsid w:val="1696242A"/>
    <w:rsid w:val="169C77DB"/>
    <w:rsid w:val="16AA1541"/>
    <w:rsid w:val="16CA07EC"/>
    <w:rsid w:val="16EF2001"/>
    <w:rsid w:val="16F13FCB"/>
    <w:rsid w:val="170A0375"/>
    <w:rsid w:val="171657DF"/>
    <w:rsid w:val="17251405"/>
    <w:rsid w:val="17294DEE"/>
    <w:rsid w:val="172D48D7"/>
    <w:rsid w:val="1738222C"/>
    <w:rsid w:val="174A5489"/>
    <w:rsid w:val="17564279"/>
    <w:rsid w:val="175C6552"/>
    <w:rsid w:val="17B5540C"/>
    <w:rsid w:val="17BD41A1"/>
    <w:rsid w:val="17CF2948"/>
    <w:rsid w:val="17E248C6"/>
    <w:rsid w:val="17EC3F1E"/>
    <w:rsid w:val="18064BF2"/>
    <w:rsid w:val="18104D4C"/>
    <w:rsid w:val="181141F9"/>
    <w:rsid w:val="182C6135"/>
    <w:rsid w:val="18402BA2"/>
    <w:rsid w:val="18616F2E"/>
    <w:rsid w:val="18850944"/>
    <w:rsid w:val="189C053F"/>
    <w:rsid w:val="18A065BF"/>
    <w:rsid w:val="18C4126B"/>
    <w:rsid w:val="18C50D81"/>
    <w:rsid w:val="18E31559"/>
    <w:rsid w:val="18E95A28"/>
    <w:rsid w:val="18F22558"/>
    <w:rsid w:val="18F92486"/>
    <w:rsid w:val="18FC7A32"/>
    <w:rsid w:val="18FF7EBE"/>
    <w:rsid w:val="19053C83"/>
    <w:rsid w:val="190F6CF4"/>
    <w:rsid w:val="19255199"/>
    <w:rsid w:val="192B12EA"/>
    <w:rsid w:val="194435D6"/>
    <w:rsid w:val="19474C51"/>
    <w:rsid w:val="19526BFE"/>
    <w:rsid w:val="19586E6E"/>
    <w:rsid w:val="198C4708"/>
    <w:rsid w:val="198D5A72"/>
    <w:rsid w:val="19960E59"/>
    <w:rsid w:val="199C06A0"/>
    <w:rsid w:val="199D3AA5"/>
    <w:rsid w:val="19BD4903"/>
    <w:rsid w:val="19C178F4"/>
    <w:rsid w:val="19F24B75"/>
    <w:rsid w:val="19F60439"/>
    <w:rsid w:val="19FE198E"/>
    <w:rsid w:val="1A0275A8"/>
    <w:rsid w:val="1A057D8D"/>
    <w:rsid w:val="1A18361C"/>
    <w:rsid w:val="1A225292"/>
    <w:rsid w:val="1A277F77"/>
    <w:rsid w:val="1A2F6BB8"/>
    <w:rsid w:val="1A367A00"/>
    <w:rsid w:val="1A450E5E"/>
    <w:rsid w:val="1A5F515F"/>
    <w:rsid w:val="1A7F369B"/>
    <w:rsid w:val="1A8C3383"/>
    <w:rsid w:val="1A8D5DC2"/>
    <w:rsid w:val="1ABD6B47"/>
    <w:rsid w:val="1AC83294"/>
    <w:rsid w:val="1ADF3CF7"/>
    <w:rsid w:val="1B1B64F7"/>
    <w:rsid w:val="1B1C713C"/>
    <w:rsid w:val="1B2416C9"/>
    <w:rsid w:val="1B482848"/>
    <w:rsid w:val="1B5F4096"/>
    <w:rsid w:val="1B811695"/>
    <w:rsid w:val="1B8B44A0"/>
    <w:rsid w:val="1B964B8F"/>
    <w:rsid w:val="1B9D06DE"/>
    <w:rsid w:val="1BB569B9"/>
    <w:rsid w:val="1BE93D3D"/>
    <w:rsid w:val="1BF65BDF"/>
    <w:rsid w:val="1C0A51E7"/>
    <w:rsid w:val="1C2047DE"/>
    <w:rsid w:val="1C297D63"/>
    <w:rsid w:val="1C316C17"/>
    <w:rsid w:val="1C3D380E"/>
    <w:rsid w:val="1C566883"/>
    <w:rsid w:val="1C5B16DA"/>
    <w:rsid w:val="1C6D0F5F"/>
    <w:rsid w:val="1C810B1A"/>
    <w:rsid w:val="1CB3587E"/>
    <w:rsid w:val="1CDC7CC4"/>
    <w:rsid w:val="1CE04DCE"/>
    <w:rsid w:val="1CF61D03"/>
    <w:rsid w:val="1CF71F04"/>
    <w:rsid w:val="1CF91D37"/>
    <w:rsid w:val="1D025157"/>
    <w:rsid w:val="1D102CD1"/>
    <w:rsid w:val="1D197C59"/>
    <w:rsid w:val="1D1B04AB"/>
    <w:rsid w:val="1D3F7112"/>
    <w:rsid w:val="1D4806BC"/>
    <w:rsid w:val="1D5F6564"/>
    <w:rsid w:val="1D6152DE"/>
    <w:rsid w:val="1D6F10BC"/>
    <w:rsid w:val="1D730816"/>
    <w:rsid w:val="1D76155D"/>
    <w:rsid w:val="1D936DC9"/>
    <w:rsid w:val="1D973739"/>
    <w:rsid w:val="1D9E1FE2"/>
    <w:rsid w:val="1DAA22DA"/>
    <w:rsid w:val="1DAA4ED3"/>
    <w:rsid w:val="1DB56AB6"/>
    <w:rsid w:val="1DC1221D"/>
    <w:rsid w:val="1DD1678F"/>
    <w:rsid w:val="1DED6B6E"/>
    <w:rsid w:val="1DF32C37"/>
    <w:rsid w:val="1DFE6FCD"/>
    <w:rsid w:val="1E036050"/>
    <w:rsid w:val="1E1A30A8"/>
    <w:rsid w:val="1E312EFF"/>
    <w:rsid w:val="1E340C41"/>
    <w:rsid w:val="1E572B2D"/>
    <w:rsid w:val="1E597F11"/>
    <w:rsid w:val="1E5B3A88"/>
    <w:rsid w:val="1E5D482F"/>
    <w:rsid w:val="1E66628E"/>
    <w:rsid w:val="1E6F3542"/>
    <w:rsid w:val="1E721A60"/>
    <w:rsid w:val="1E7643EA"/>
    <w:rsid w:val="1E803E86"/>
    <w:rsid w:val="1E871677"/>
    <w:rsid w:val="1E8E20FF"/>
    <w:rsid w:val="1E9B481C"/>
    <w:rsid w:val="1EAE4DF0"/>
    <w:rsid w:val="1EC65255"/>
    <w:rsid w:val="1ECA23EF"/>
    <w:rsid w:val="1EE948EE"/>
    <w:rsid w:val="1EEB5E1D"/>
    <w:rsid w:val="1EF6110A"/>
    <w:rsid w:val="1F0022D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C49C1"/>
    <w:rsid w:val="201C4107"/>
    <w:rsid w:val="203211B0"/>
    <w:rsid w:val="20367192"/>
    <w:rsid w:val="2037039E"/>
    <w:rsid w:val="204258B3"/>
    <w:rsid w:val="20444B8E"/>
    <w:rsid w:val="20482BC8"/>
    <w:rsid w:val="204A7105"/>
    <w:rsid w:val="20753775"/>
    <w:rsid w:val="20766701"/>
    <w:rsid w:val="207927B1"/>
    <w:rsid w:val="207B0647"/>
    <w:rsid w:val="209B4B21"/>
    <w:rsid w:val="209C340F"/>
    <w:rsid w:val="20C1729E"/>
    <w:rsid w:val="20CF253F"/>
    <w:rsid w:val="20D1603F"/>
    <w:rsid w:val="20D94575"/>
    <w:rsid w:val="20DB1848"/>
    <w:rsid w:val="20DB5C70"/>
    <w:rsid w:val="21065F6A"/>
    <w:rsid w:val="211A5ECC"/>
    <w:rsid w:val="211D473B"/>
    <w:rsid w:val="215374BB"/>
    <w:rsid w:val="21586A89"/>
    <w:rsid w:val="216466AF"/>
    <w:rsid w:val="216E50C1"/>
    <w:rsid w:val="21715920"/>
    <w:rsid w:val="21770C70"/>
    <w:rsid w:val="217A4BBD"/>
    <w:rsid w:val="218968DE"/>
    <w:rsid w:val="218B3233"/>
    <w:rsid w:val="218D48F0"/>
    <w:rsid w:val="218F374C"/>
    <w:rsid w:val="21993530"/>
    <w:rsid w:val="21A12DCA"/>
    <w:rsid w:val="21A84A82"/>
    <w:rsid w:val="21AA0B06"/>
    <w:rsid w:val="21ED3919"/>
    <w:rsid w:val="21EF1F4F"/>
    <w:rsid w:val="21F61BF0"/>
    <w:rsid w:val="2213305A"/>
    <w:rsid w:val="221B7D83"/>
    <w:rsid w:val="222029F4"/>
    <w:rsid w:val="22235757"/>
    <w:rsid w:val="222931C6"/>
    <w:rsid w:val="2230171F"/>
    <w:rsid w:val="223065D1"/>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C626C9"/>
    <w:rsid w:val="23C94A94"/>
    <w:rsid w:val="23E04358"/>
    <w:rsid w:val="24015121"/>
    <w:rsid w:val="240E4847"/>
    <w:rsid w:val="244169BF"/>
    <w:rsid w:val="244F2331"/>
    <w:rsid w:val="24565B0F"/>
    <w:rsid w:val="24833BA4"/>
    <w:rsid w:val="24853F3C"/>
    <w:rsid w:val="249146F7"/>
    <w:rsid w:val="24A54761"/>
    <w:rsid w:val="24A563F4"/>
    <w:rsid w:val="24BE3AF6"/>
    <w:rsid w:val="24C30D9C"/>
    <w:rsid w:val="24E72F8F"/>
    <w:rsid w:val="24F427D9"/>
    <w:rsid w:val="250516B5"/>
    <w:rsid w:val="25096983"/>
    <w:rsid w:val="25126F82"/>
    <w:rsid w:val="251F690D"/>
    <w:rsid w:val="25231F29"/>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60F37D8"/>
    <w:rsid w:val="26306A6D"/>
    <w:rsid w:val="263C0693"/>
    <w:rsid w:val="263D779F"/>
    <w:rsid w:val="26431A21"/>
    <w:rsid w:val="2652435A"/>
    <w:rsid w:val="26693728"/>
    <w:rsid w:val="266C237C"/>
    <w:rsid w:val="26914E82"/>
    <w:rsid w:val="26973D9F"/>
    <w:rsid w:val="26A06E73"/>
    <w:rsid w:val="26A43829"/>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46795"/>
    <w:rsid w:val="278B508D"/>
    <w:rsid w:val="2792538E"/>
    <w:rsid w:val="27AC074C"/>
    <w:rsid w:val="27B32087"/>
    <w:rsid w:val="27B974F4"/>
    <w:rsid w:val="27C0642F"/>
    <w:rsid w:val="27FE6547"/>
    <w:rsid w:val="281D44F4"/>
    <w:rsid w:val="281D6E26"/>
    <w:rsid w:val="28394F1E"/>
    <w:rsid w:val="28680F94"/>
    <w:rsid w:val="287320EC"/>
    <w:rsid w:val="2895064C"/>
    <w:rsid w:val="289E73E3"/>
    <w:rsid w:val="28BF330C"/>
    <w:rsid w:val="28DD7E6F"/>
    <w:rsid w:val="290C7562"/>
    <w:rsid w:val="29146633"/>
    <w:rsid w:val="2915658F"/>
    <w:rsid w:val="29346BDE"/>
    <w:rsid w:val="294207D9"/>
    <w:rsid w:val="295F5AE3"/>
    <w:rsid w:val="29805ABC"/>
    <w:rsid w:val="29902FBA"/>
    <w:rsid w:val="299F6FCD"/>
    <w:rsid w:val="29BA45AB"/>
    <w:rsid w:val="29BD3BAD"/>
    <w:rsid w:val="29C4095E"/>
    <w:rsid w:val="29E65839"/>
    <w:rsid w:val="29EB1579"/>
    <w:rsid w:val="29F23E8A"/>
    <w:rsid w:val="29F953BB"/>
    <w:rsid w:val="2A0260D0"/>
    <w:rsid w:val="2A052D31"/>
    <w:rsid w:val="2A2563AF"/>
    <w:rsid w:val="2A3049B2"/>
    <w:rsid w:val="2A5C57A7"/>
    <w:rsid w:val="2A6C51CD"/>
    <w:rsid w:val="2A730AEB"/>
    <w:rsid w:val="2A9D78C9"/>
    <w:rsid w:val="2AB06D2C"/>
    <w:rsid w:val="2AB21149"/>
    <w:rsid w:val="2ABD048D"/>
    <w:rsid w:val="2AD03A9F"/>
    <w:rsid w:val="2AD77099"/>
    <w:rsid w:val="2AE33C36"/>
    <w:rsid w:val="2AFF488F"/>
    <w:rsid w:val="2B07172B"/>
    <w:rsid w:val="2B1A417C"/>
    <w:rsid w:val="2B1F3113"/>
    <w:rsid w:val="2B34402E"/>
    <w:rsid w:val="2B540D26"/>
    <w:rsid w:val="2B5474ED"/>
    <w:rsid w:val="2B594C74"/>
    <w:rsid w:val="2B7B1700"/>
    <w:rsid w:val="2B862FB3"/>
    <w:rsid w:val="2B8F74B6"/>
    <w:rsid w:val="2B99040C"/>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2C1C2B"/>
    <w:rsid w:val="2D35325E"/>
    <w:rsid w:val="2D6D2E90"/>
    <w:rsid w:val="2D7474C4"/>
    <w:rsid w:val="2D74754C"/>
    <w:rsid w:val="2D817915"/>
    <w:rsid w:val="2D856DC3"/>
    <w:rsid w:val="2D9C36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BE60E2"/>
    <w:rsid w:val="2ECE6996"/>
    <w:rsid w:val="2EDE785B"/>
    <w:rsid w:val="2EE813C1"/>
    <w:rsid w:val="2EF75A9F"/>
    <w:rsid w:val="2F212B1B"/>
    <w:rsid w:val="2F3960B7"/>
    <w:rsid w:val="2F3A47FE"/>
    <w:rsid w:val="2F3A598B"/>
    <w:rsid w:val="2F657BB4"/>
    <w:rsid w:val="2F6F3887"/>
    <w:rsid w:val="2F704636"/>
    <w:rsid w:val="2F7D2EF9"/>
    <w:rsid w:val="2F8B3036"/>
    <w:rsid w:val="2F8B4FC7"/>
    <w:rsid w:val="2F9629E8"/>
    <w:rsid w:val="2FB36AEE"/>
    <w:rsid w:val="2FC83EEB"/>
    <w:rsid w:val="2FE204FD"/>
    <w:rsid w:val="2FE73D65"/>
    <w:rsid w:val="2FEC52BE"/>
    <w:rsid w:val="3004501A"/>
    <w:rsid w:val="30170D66"/>
    <w:rsid w:val="30481B09"/>
    <w:rsid w:val="304C571B"/>
    <w:rsid w:val="304E247E"/>
    <w:rsid w:val="30522E6E"/>
    <w:rsid w:val="3062363E"/>
    <w:rsid w:val="30780277"/>
    <w:rsid w:val="30825A13"/>
    <w:rsid w:val="309317F7"/>
    <w:rsid w:val="30BB30B2"/>
    <w:rsid w:val="30BF33FB"/>
    <w:rsid w:val="30FA13C7"/>
    <w:rsid w:val="310E398D"/>
    <w:rsid w:val="3110685C"/>
    <w:rsid w:val="31124E12"/>
    <w:rsid w:val="313C49AD"/>
    <w:rsid w:val="313D45A5"/>
    <w:rsid w:val="31400522"/>
    <w:rsid w:val="3164169D"/>
    <w:rsid w:val="31766BF1"/>
    <w:rsid w:val="31851EC0"/>
    <w:rsid w:val="31A646A6"/>
    <w:rsid w:val="31AC0DC2"/>
    <w:rsid w:val="31C23E75"/>
    <w:rsid w:val="31C51E84"/>
    <w:rsid w:val="31D13313"/>
    <w:rsid w:val="31D17301"/>
    <w:rsid w:val="31D87321"/>
    <w:rsid w:val="31E247E4"/>
    <w:rsid w:val="31E26AFF"/>
    <w:rsid w:val="31F7113A"/>
    <w:rsid w:val="31F80FF9"/>
    <w:rsid w:val="31FA4196"/>
    <w:rsid w:val="321A6C4A"/>
    <w:rsid w:val="322931BC"/>
    <w:rsid w:val="323B2146"/>
    <w:rsid w:val="323D7C6C"/>
    <w:rsid w:val="32543208"/>
    <w:rsid w:val="32630039"/>
    <w:rsid w:val="327A7E28"/>
    <w:rsid w:val="327D62BB"/>
    <w:rsid w:val="328268CE"/>
    <w:rsid w:val="32A15506"/>
    <w:rsid w:val="32BF58EF"/>
    <w:rsid w:val="32C4213C"/>
    <w:rsid w:val="32C57C62"/>
    <w:rsid w:val="32F3227A"/>
    <w:rsid w:val="32F46515"/>
    <w:rsid w:val="32F50851"/>
    <w:rsid w:val="33015DD1"/>
    <w:rsid w:val="330C5891"/>
    <w:rsid w:val="331533D3"/>
    <w:rsid w:val="33492F6C"/>
    <w:rsid w:val="33712C64"/>
    <w:rsid w:val="337349D1"/>
    <w:rsid w:val="337F2933"/>
    <w:rsid w:val="33850F08"/>
    <w:rsid w:val="33E478B7"/>
    <w:rsid w:val="340F0069"/>
    <w:rsid w:val="341146CF"/>
    <w:rsid w:val="34190265"/>
    <w:rsid w:val="3434509F"/>
    <w:rsid w:val="34436CD2"/>
    <w:rsid w:val="345C032E"/>
    <w:rsid w:val="346911EC"/>
    <w:rsid w:val="34705DE8"/>
    <w:rsid w:val="347B1D3E"/>
    <w:rsid w:val="347B4A7C"/>
    <w:rsid w:val="34841305"/>
    <w:rsid w:val="348F62DA"/>
    <w:rsid w:val="349C63A1"/>
    <w:rsid w:val="34B670C2"/>
    <w:rsid w:val="34C208FD"/>
    <w:rsid w:val="34C667B8"/>
    <w:rsid w:val="34CF101E"/>
    <w:rsid w:val="34D429D9"/>
    <w:rsid w:val="34D9716A"/>
    <w:rsid w:val="34DF7637"/>
    <w:rsid w:val="34F71370"/>
    <w:rsid w:val="350E3B42"/>
    <w:rsid w:val="35101923"/>
    <w:rsid w:val="351531D7"/>
    <w:rsid w:val="351A699E"/>
    <w:rsid w:val="352C6166"/>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193BCB"/>
    <w:rsid w:val="362548A0"/>
    <w:rsid w:val="3630158B"/>
    <w:rsid w:val="363324E6"/>
    <w:rsid w:val="365D631E"/>
    <w:rsid w:val="365F29E9"/>
    <w:rsid w:val="3660217B"/>
    <w:rsid w:val="368A544A"/>
    <w:rsid w:val="36942F07"/>
    <w:rsid w:val="3697713D"/>
    <w:rsid w:val="369B0357"/>
    <w:rsid w:val="369C3850"/>
    <w:rsid w:val="36A61D97"/>
    <w:rsid w:val="36BD65E1"/>
    <w:rsid w:val="36C01F2B"/>
    <w:rsid w:val="36C461C2"/>
    <w:rsid w:val="36DF09AA"/>
    <w:rsid w:val="370445FA"/>
    <w:rsid w:val="37150272"/>
    <w:rsid w:val="3719794B"/>
    <w:rsid w:val="37197D00"/>
    <w:rsid w:val="372118AF"/>
    <w:rsid w:val="373D5314"/>
    <w:rsid w:val="37643096"/>
    <w:rsid w:val="376550D6"/>
    <w:rsid w:val="376D5499"/>
    <w:rsid w:val="3772660A"/>
    <w:rsid w:val="3780494F"/>
    <w:rsid w:val="378105FB"/>
    <w:rsid w:val="37920A5A"/>
    <w:rsid w:val="37955F75"/>
    <w:rsid w:val="379662D1"/>
    <w:rsid w:val="379B08DA"/>
    <w:rsid w:val="37AB1AB6"/>
    <w:rsid w:val="37B71CC8"/>
    <w:rsid w:val="380139A1"/>
    <w:rsid w:val="38014A88"/>
    <w:rsid w:val="38090376"/>
    <w:rsid w:val="382C7134"/>
    <w:rsid w:val="382D1679"/>
    <w:rsid w:val="383E77DC"/>
    <w:rsid w:val="38451629"/>
    <w:rsid w:val="385B59D1"/>
    <w:rsid w:val="38667E4C"/>
    <w:rsid w:val="3878766F"/>
    <w:rsid w:val="387F307C"/>
    <w:rsid w:val="38877E93"/>
    <w:rsid w:val="388A2BF1"/>
    <w:rsid w:val="38946D14"/>
    <w:rsid w:val="38A70528"/>
    <w:rsid w:val="38AA37D2"/>
    <w:rsid w:val="38B27842"/>
    <w:rsid w:val="38EB2951"/>
    <w:rsid w:val="38ED063D"/>
    <w:rsid w:val="39033292"/>
    <w:rsid w:val="39096AFA"/>
    <w:rsid w:val="39166C6D"/>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5327D"/>
    <w:rsid w:val="3A176FF5"/>
    <w:rsid w:val="3A4678DA"/>
    <w:rsid w:val="3A49117D"/>
    <w:rsid w:val="3A656089"/>
    <w:rsid w:val="3A6725ED"/>
    <w:rsid w:val="3A6C1B62"/>
    <w:rsid w:val="3A736CC9"/>
    <w:rsid w:val="3A7925D4"/>
    <w:rsid w:val="3A925C8A"/>
    <w:rsid w:val="3A96379C"/>
    <w:rsid w:val="3A9E14C4"/>
    <w:rsid w:val="3AB40CE8"/>
    <w:rsid w:val="3AB63A4C"/>
    <w:rsid w:val="3AB8529B"/>
    <w:rsid w:val="3AC1338E"/>
    <w:rsid w:val="3ACA63C5"/>
    <w:rsid w:val="3ADB6F18"/>
    <w:rsid w:val="3AF15A98"/>
    <w:rsid w:val="3B231BA9"/>
    <w:rsid w:val="3B36794F"/>
    <w:rsid w:val="3B394FF5"/>
    <w:rsid w:val="3B4B164C"/>
    <w:rsid w:val="3B4D61F0"/>
    <w:rsid w:val="3B5624D2"/>
    <w:rsid w:val="3B620744"/>
    <w:rsid w:val="3B706C40"/>
    <w:rsid w:val="3B944967"/>
    <w:rsid w:val="3BAC5E63"/>
    <w:rsid w:val="3BBC42F8"/>
    <w:rsid w:val="3BCA7067"/>
    <w:rsid w:val="3BDB59DD"/>
    <w:rsid w:val="3C0E5FC0"/>
    <w:rsid w:val="3C157564"/>
    <w:rsid w:val="3C264C45"/>
    <w:rsid w:val="3C2A22E8"/>
    <w:rsid w:val="3C37199C"/>
    <w:rsid w:val="3C3D79E3"/>
    <w:rsid w:val="3C5B6508"/>
    <w:rsid w:val="3C7C71A8"/>
    <w:rsid w:val="3C954DBD"/>
    <w:rsid w:val="3C9C7C85"/>
    <w:rsid w:val="3CA8662A"/>
    <w:rsid w:val="3CAA4FEB"/>
    <w:rsid w:val="3CB274A9"/>
    <w:rsid w:val="3CC11D31"/>
    <w:rsid w:val="3CCD42E3"/>
    <w:rsid w:val="3CCF3BB7"/>
    <w:rsid w:val="3CD411CD"/>
    <w:rsid w:val="3CEA279F"/>
    <w:rsid w:val="3CFF0FB4"/>
    <w:rsid w:val="3D0B110C"/>
    <w:rsid w:val="3D1B2DE3"/>
    <w:rsid w:val="3D2A4B34"/>
    <w:rsid w:val="3D2D6B2F"/>
    <w:rsid w:val="3D8E7FC3"/>
    <w:rsid w:val="3D954E00"/>
    <w:rsid w:val="3D9573E6"/>
    <w:rsid w:val="3DA25DCF"/>
    <w:rsid w:val="3DAF5796"/>
    <w:rsid w:val="3DC806CC"/>
    <w:rsid w:val="3DCE20C0"/>
    <w:rsid w:val="3DD4228F"/>
    <w:rsid w:val="3DE55BB0"/>
    <w:rsid w:val="3DF61C4C"/>
    <w:rsid w:val="3E1E6AF6"/>
    <w:rsid w:val="3E3219D0"/>
    <w:rsid w:val="3E335341"/>
    <w:rsid w:val="3E344619"/>
    <w:rsid w:val="3E3A1504"/>
    <w:rsid w:val="3E3B049A"/>
    <w:rsid w:val="3E3C3834"/>
    <w:rsid w:val="3E407B0A"/>
    <w:rsid w:val="3E4800C5"/>
    <w:rsid w:val="3E507D7E"/>
    <w:rsid w:val="3E662EBF"/>
    <w:rsid w:val="3E884CD8"/>
    <w:rsid w:val="3E8C2C22"/>
    <w:rsid w:val="3EA87CD5"/>
    <w:rsid w:val="3EAE617C"/>
    <w:rsid w:val="3EB42D59"/>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7609E9"/>
    <w:rsid w:val="3F780536"/>
    <w:rsid w:val="3F855F4F"/>
    <w:rsid w:val="3FA255B3"/>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250249"/>
    <w:rsid w:val="41312621"/>
    <w:rsid w:val="413C460F"/>
    <w:rsid w:val="414A567B"/>
    <w:rsid w:val="41532F65"/>
    <w:rsid w:val="415D4149"/>
    <w:rsid w:val="415E6EA9"/>
    <w:rsid w:val="41762D4D"/>
    <w:rsid w:val="41883BA4"/>
    <w:rsid w:val="41904347"/>
    <w:rsid w:val="41AE54DD"/>
    <w:rsid w:val="41B01549"/>
    <w:rsid w:val="41B14C97"/>
    <w:rsid w:val="41C16FE9"/>
    <w:rsid w:val="41C37D77"/>
    <w:rsid w:val="41C929D2"/>
    <w:rsid w:val="41DA54D8"/>
    <w:rsid w:val="41FA16D6"/>
    <w:rsid w:val="42022339"/>
    <w:rsid w:val="420462A2"/>
    <w:rsid w:val="42071C33"/>
    <w:rsid w:val="422232A6"/>
    <w:rsid w:val="423568A3"/>
    <w:rsid w:val="423D5A66"/>
    <w:rsid w:val="424A2598"/>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A4175"/>
    <w:rsid w:val="437F1AF7"/>
    <w:rsid w:val="438057A2"/>
    <w:rsid w:val="43A546F5"/>
    <w:rsid w:val="43B43B06"/>
    <w:rsid w:val="43C65BB4"/>
    <w:rsid w:val="43D75EDF"/>
    <w:rsid w:val="43DE62D2"/>
    <w:rsid w:val="43E4588D"/>
    <w:rsid w:val="43E66354"/>
    <w:rsid w:val="43E830CC"/>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53938"/>
    <w:rsid w:val="449B2379"/>
    <w:rsid w:val="449C5D5B"/>
    <w:rsid w:val="44AA3914"/>
    <w:rsid w:val="44D96E82"/>
    <w:rsid w:val="44F61691"/>
    <w:rsid w:val="45004271"/>
    <w:rsid w:val="45091E4C"/>
    <w:rsid w:val="45097749"/>
    <w:rsid w:val="450E2C6D"/>
    <w:rsid w:val="451000E8"/>
    <w:rsid w:val="452F5B3A"/>
    <w:rsid w:val="45361B7A"/>
    <w:rsid w:val="45551CD2"/>
    <w:rsid w:val="455F381D"/>
    <w:rsid w:val="45750675"/>
    <w:rsid w:val="458336CE"/>
    <w:rsid w:val="459019B6"/>
    <w:rsid w:val="45934B8E"/>
    <w:rsid w:val="4594599D"/>
    <w:rsid w:val="459C1818"/>
    <w:rsid w:val="45B94936"/>
    <w:rsid w:val="45C47FEA"/>
    <w:rsid w:val="45C77F5D"/>
    <w:rsid w:val="45CC3389"/>
    <w:rsid w:val="45D04C30"/>
    <w:rsid w:val="45E62C0C"/>
    <w:rsid w:val="45E87ACC"/>
    <w:rsid w:val="45F30715"/>
    <w:rsid w:val="46026DAB"/>
    <w:rsid w:val="46152C58"/>
    <w:rsid w:val="46280B2B"/>
    <w:rsid w:val="463D4287"/>
    <w:rsid w:val="46494559"/>
    <w:rsid w:val="46496788"/>
    <w:rsid w:val="465A0995"/>
    <w:rsid w:val="465E797E"/>
    <w:rsid w:val="46647A66"/>
    <w:rsid w:val="4666041D"/>
    <w:rsid w:val="466B0189"/>
    <w:rsid w:val="46761606"/>
    <w:rsid w:val="46765A1C"/>
    <w:rsid w:val="467B08ED"/>
    <w:rsid w:val="469A6680"/>
    <w:rsid w:val="469F783D"/>
    <w:rsid w:val="46A936CA"/>
    <w:rsid w:val="46B7537D"/>
    <w:rsid w:val="46BD2F34"/>
    <w:rsid w:val="46C171F7"/>
    <w:rsid w:val="46C82706"/>
    <w:rsid w:val="46C83A73"/>
    <w:rsid w:val="46D72568"/>
    <w:rsid w:val="46F61AFC"/>
    <w:rsid w:val="470459AE"/>
    <w:rsid w:val="471379FA"/>
    <w:rsid w:val="472D7E58"/>
    <w:rsid w:val="47353F4A"/>
    <w:rsid w:val="47526E1C"/>
    <w:rsid w:val="4760502F"/>
    <w:rsid w:val="47706F2B"/>
    <w:rsid w:val="477B3A86"/>
    <w:rsid w:val="47905373"/>
    <w:rsid w:val="47951059"/>
    <w:rsid w:val="479E3926"/>
    <w:rsid w:val="47A45B75"/>
    <w:rsid w:val="47A6721B"/>
    <w:rsid w:val="47A83982"/>
    <w:rsid w:val="47AA14A8"/>
    <w:rsid w:val="47AC5B29"/>
    <w:rsid w:val="47B32567"/>
    <w:rsid w:val="47B75C51"/>
    <w:rsid w:val="47C86AD6"/>
    <w:rsid w:val="47CD2123"/>
    <w:rsid w:val="47D3206E"/>
    <w:rsid w:val="47DB3B56"/>
    <w:rsid w:val="47DF64E5"/>
    <w:rsid w:val="47F54465"/>
    <w:rsid w:val="47F65A41"/>
    <w:rsid w:val="47FB61A8"/>
    <w:rsid w:val="48083A06"/>
    <w:rsid w:val="48125E4D"/>
    <w:rsid w:val="4812704D"/>
    <w:rsid w:val="481B1ECE"/>
    <w:rsid w:val="48286871"/>
    <w:rsid w:val="48334CC9"/>
    <w:rsid w:val="48547C51"/>
    <w:rsid w:val="485D651B"/>
    <w:rsid w:val="486D794F"/>
    <w:rsid w:val="488A36D6"/>
    <w:rsid w:val="48A0549A"/>
    <w:rsid w:val="48B55C68"/>
    <w:rsid w:val="48C42A3E"/>
    <w:rsid w:val="48CB0D9B"/>
    <w:rsid w:val="48DC0ABA"/>
    <w:rsid w:val="48EE01B9"/>
    <w:rsid w:val="48EF3C78"/>
    <w:rsid w:val="492357D0"/>
    <w:rsid w:val="492D3531"/>
    <w:rsid w:val="4937560A"/>
    <w:rsid w:val="495E6476"/>
    <w:rsid w:val="49760E4E"/>
    <w:rsid w:val="49784437"/>
    <w:rsid w:val="498B7AA4"/>
    <w:rsid w:val="498E11E5"/>
    <w:rsid w:val="499757F2"/>
    <w:rsid w:val="49A91831"/>
    <w:rsid w:val="49BE56DF"/>
    <w:rsid w:val="49D7054F"/>
    <w:rsid w:val="49DF2012"/>
    <w:rsid w:val="4A28367C"/>
    <w:rsid w:val="4A3516A7"/>
    <w:rsid w:val="4A477487"/>
    <w:rsid w:val="4A6F2D70"/>
    <w:rsid w:val="4A8C5857"/>
    <w:rsid w:val="4A955AD3"/>
    <w:rsid w:val="4AA033A5"/>
    <w:rsid w:val="4AAC19DB"/>
    <w:rsid w:val="4ACB57CC"/>
    <w:rsid w:val="4AD11442"/>
    <w:rsid w:val="4AD71050"/>
    <w:rsid w:val="4ADF539B"/>
    <w:rsid w:val="4AE0671C"/>
    <w:rsid w:val="4AFF39A7"/>
    <w:rsid w:val="4B0F4C11"/>
    <w:rsid w:val="4B26353C"/>
    <w:rsid w:val="4B2F55D4"/>
    <w:rsid w:val="4B3142D7"/>
    <w:rsid w:val="4B3204B9"/>
    <w:rsid w:val="4B443F5D"/>
    <w:rsid w:val="4B56048C"/>
    <w:rsid w:val="4B647F84"/>
    <w:rsid w:val="4B716827"/>
    <w:rsid w:val="4B7F0857"/>
    <w:rsid w:val="4B8B6E69"/>
    <w:rsid w:val="4BB04E28"/>
    <w:rsid w:val="4BC863A1"/>
    <w:rsid w:val="4BCB40E3"/>
    <w:rsid w:val="4BD332E5"/>
    <w:rsid w:val="4BF016FF"/>
    <w:rsid w:val="4C054033"/>
    <w:rsid w:val="4C172E84"/>
    <w:rsid w:val="4C1C45B7"/>
    <w:rsid w:val="4C537033"/>
    <w:rsid w:val="4C5F79B9"/>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885A44"/>
    <w:rsid w:val="4D9549A9"/>
    <w:rsid w:val="4DB50BA7"/>
    <w:rsid w:val="4DBD11D2"/>
    <w:rsid w:val="4E06107E"/>
    <w:rsid w:val="4E0F7048"/>
    <w:rsid w:val="4E1C10AB"/>
    <w:rsid w:val="4E371003"/>
    <w:rsid w:val="4E431759"/>
    <w:rsid w:val="4E4D7E58"/>
    <w:rsid w:val="4E600A7E"/>
    <w:rsid w:val="4E6A7935"/>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993"/>
    <w:rsid w:val="4F9D0B1C"/>
    <w:rsid w:val="4FA40ED3"/>
    <w:rsid w:val="4FD43019"/>
    <w:rsid w:val="4FD87A55"/>
    <w:rsid w:val="4FF21C3E"/>
    <w:rsid w:val="4FF93F39"/>
    <w:rsid w:val="50084F19"/>
    <w:rsid w:val="500E5044"/>
    <w:rsid w:val="501A4C4A"/>
    <w:rsid w:val="501B16B3"/>
    <w:rsid w:val="502838B2"/>
    <w:rsid w:val="502D5544"/>
    <w:rsid w:val="50387003"/>
    <w:rsid w:val="503D71FC"/>
    <w:rsid w:val="504927CC"/>
    <w:rsid w:val="506B19F1"/>
    <w:rsid w:val="50715259"/>
    <w:rsid w:val="50744D49"/>
    <w:rsid w:val="507B7A10"/>
    <w:rsid w:val="50884351"/>
    <w:rsid w:val="50942CF5"/>
    <w:rsid w:val="50A45E47"/>
    <w:rsid w:val="50DC4393"/>
    <w:rsid w:val="50F0696D"/>
    <w:rsid w:val="50FA3034"/>
    <w:rsid w:val="50FA430C"/>
    <w:rsid w:val="510655FD"/>
    <w:rsid w:val="51070065"/>
    <w:rsid w:val="5108459C"/>
    <w:rsid w:val="51171B91"/>
    <w:rsid w:val="511856D5"/>
    <w:rsid w:val="5127693B"/>
    <w:rsid w:val="51281690"/>
    <w:rsid w:val="512F6EC2"/>
    <w:rsid w:val="51317E93"/>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A4235"/>
    <w:rsid w:val="524C5EAE"/>
    <w:rsid w:val="52661B1B"/>
    <w:rsid w:val="52702C6B"/>
    <w:rsid w:val="528D5C4E"/>
    <w:rsid w:val="529C4A96"/>
    <w:rsid w:val="529C5152"/>
    <w:rsid w:val="52AB6335"/>
    <w:rsid w:val="52CC5972"/>
    <w:rsid w:val="52CF270B"/>
    <w:rsid w:val="52D1374D"/>
    <w:rsid w:val="52D65847"/>
    <w:rsid w:val="52E7651A"/>
    <w:rsid w:val="53087FF5"/>
    <w:rsid w:val="532C79FA"/>
    <w:rsid w:val="532D19B8"/>
    <w:rsid w:val="53363228"/>
    <w:rsid w:val="533B0998"/>
    <w:rsid w:val="534C254D"/>
    <w:rsid w:val="53517149"/>
    <w:rsid w:val="5366395A"/>
    <w:rsid w:val="536B211D"/>
    <w:rsid w:val="536D1D18"/>
    <w:rsid w:val="53814739"/>
    <w:rsid w:val="538168C3"/>
    <w:rsid w:val="538434F5"/>
    <w:rsid w:val="538854AB"/>
    <w:rsid w:val="53890B0C"/>
    <w:rsid w:val="539D45B7"/>
    <w:rsid w:val="539F486C"/>
    <w:rsid w:val="53BE72AB"/>
    <w:rsid w:val="53C4294A"/>
    <w:rsid w:val="53CD1ECB"/>
    <w:rsid w:val="53DC2690"/>
    <w:rsid w:val="53EC2E48"/>
    <w:rsid w:val="53F93E22"/>
    <w:rsid w:val="54177EC5"/>
    <w:rsid w:val="54231989"/>
    <w:rsid w:val="54271D93"/>
    <w:rsid w:val="543C587A"/>
    <w:rsid w:val="544E765F"/>
    <w:rsid w:val="54535BA7"/>
    <w:rsid w:val="546319AF"/>
    <w:rsid w:val="5469774B"/>
    <w:rsid w:val="547A20D2"/>
    <w:rsid w:val="54842ABD"/>
    <w:rsid w:val="54883066"/>
    <w:rsid w:val="548A243E"/>
    <w:rsid w:val="548C0587"/>
    <w:rsid w:val="549239F0"/>
    <w:rsid w:val="5495528E"/>
    <w:rsid w:val="54DF6189"/>
    <w:rsid w:val="54F50E63"/>
    <w:rsid w:val="552705DC"/>
    <w:rsid w:val="552D5B8C"/>
    <w:rsid w:val="55313209"/>
    <w:rsid w:val="553E75B5"/>
    <w:rsid w:val="55505B09"/>
    <w:rsid w:val="55655EF4"/>
    <w:rsid w:val="5572740F"/>
    <w:rsid w:val="557B6F90"/>
    <w:rsid w:val="557D644E"/>
    <w:rsid w:val="55894DF3"/>
    <w:rsid w:val="5594168D"/>
    <w:rsid w:val="559C27FA"/>
    <w:rsid w:val="559C71E9"/>
    <w:rsid w:val="55A6314B"/>
    <w:rsid w:val="55AA001D"/>
    <w:rsid w:val="55AB6164"/>
    <w:rsid w:val="55E2414B"/>
    <w:rsid w:val="55FE0534"/>
    <w:rsid w:val="560B7D9C"/>
    <w:rsid w:val="56735015"/>
    <w:rsid w:val="56B52A05"/>
    <w:rsid w:val="56C024DD"/>
    <w:rsid w:val="56C74ED9"/>
    <w:rsid w:val="56D46542"/>
    <w:rsid w:val="56E41F92"/>
    <w:rsid w:val="56EB1A4B"/>
    <w:rsid w:val="56EB4737"/>
    <w:rsid w:val="56F94227"/>
    <w:rsid w:val="56F950A3"/>
    <w:rsid w:val="570453AC"/>
    <w:rsid w:val="57166DFA"/>
    <w:rsid w:val="57183033"/>
    <w:rsid w:val="57315742"/>
    <w:rsid w:val="573E7E5F"/>
    <w:rsid w:val="5755718C"/>
    <w:rsid w:val="576A47AB"/>
    <w:rsid w:val="57797BC0"/>
    <w:rsid w:val="579E4882"/>
    <w:rsid w:val="57A37CC2"/>
    <w:rsid w:val="57A46D34"/>
    <w:rsid w:val="57AC12C5"/>
    <w:rsid w:val="57D808E7"/>
    <w:rsid w:val="57FF75EE"/>
    <w:rsid w:val="581035A9"/>
    <w:rsid w:val="58217ACB"/>
    <w:rsid w:val="585D4315"/>
    <w:rsid w:val="586C4558"/>
    <w:rsid w:val="586D36E5"/>
    <w:rsid w:val="58783D05"/>
    <w:rsid w:val="58935F89"/>
    <w:rsid w:val="58C33BEB"/>
    <w:rsid w:val="58C962C6"/>
    <w:rsid w:val="58DA0917"/>
    <w:rsid w:val="58DE3F06"/>
    <w:rsid w:val="58F80F4E"/>
    <w:rsid w:val="59165E23"/>
    <w:rsid w:val="593212FE"/>
    <w:rsid w:val="59331FF7"/>
    <w:rsid w:val="59371318"/>
    <w:rsid w:val="5960104D"/>
    <w:rsid w:val="596C2A61"/>
    <w:rsid w:val="59701E26"/>
    <w:rsid w:val="599C1B5F"/>
    <w:rsid w:val="599C2C1B"/>
    <w:rsid w:val="599C6C07"/>
    <w:rsid w:val="599F637C"/>
    <w:rsid w:val="59A83DDF"/>
    <w:rsid w:val="59B2308C"/>
    <w:rsid w:val="59B71CBF"/>
    <w:rsid w:val="59BD7612"/>
    <w:rsid w:val="59C06909"/>
    <w:rsid w:val="59E049DA"/>
    <w:rsid w:val="59E3136D"/>
    <w:rsid w:val="59EA39B5"/>
    <w:rsid w:val="5A1F7205"/>
    <w:rsid w:val="5A3A5B53"/>
    <w:rsid w:val="5A6F7D2D"/>
    <w:rsid w:val="5A721363"/>
    <w:rsid w:val="5A743C84"/>
    <w:rsid w:val="5A7A472C"/>
    <w:rsid w:val="5A7B32DA"/>
    <w:rsid w:val="5A8738CB"/>
    <w:rsid w:val="5AA06D00"/>
    <w:rsid w:val="5AC05880"/>
    <w:rsid w:val="5AF51304"/>
    <w:rsid w:val="5AFD2321"/>
    <w:rsid w:val="5B0D560D"/>
    <w:rsid w:val="5B182775"/>
    <w:rsid w:val="5B261A6C"/>
    <w:rsid w:val="5B480736"/>
    <w:rsid w:val="5B5C1A2D"/>
    <w:rsid w:val="5B7A6F8C"/>
    <w:rsid w:val="5B8F49CD"/>
    <w:rsid w:val="5B925432"/>
    <w:rsid w:val="5BAB0882"/>
    <w:rsid w:val="5BC22E0D"/>
    <w:rsid w:val="5BCC33F3"/>
    <w:rsid w:val="5BCD1DF8"/>
    <w:rsid w:val="5BD24D4E"/>
    <w:rsid w:val="5BD6469E"/>
    <w:rsid w:val="5BEA1C12"/>
    <w:rsid w:val="5BF925A6"/>
    <w:rsid w:val="5C0A3007"/>
    <w:rsid w:val="5C2313D1"/>
    <w:rsid w:val="5C306FF1"/>
    <w:rsid w:val="5C3B75B9"/>
    <w:rsid w:val="5C416FF0"/>
    <w:rsid w:val="5C5123E2"/>
    <w:rsid w:val="5C5D614F"/>
    <w:rsid w:val="5C8342CD"/>
    <w:rsid w:val="5C942049"/>
    <w:rsid w:val="5CAE3391"/>
    <w:rsid w:val="5CEE1B8A"/>
    <w:rsid w:val="5D257F77"/>
    <w:rsid w:val="5D343E1C"/>
    <w:rsid w:val="5D595C99"/>
    <w:rsid w:val="5D700BB2"/>
    <w:rsid w:val="5D724133"/>
    <w:rsid w:val="5D747905"/>
    <w:rsid w:val="5D7719D5"/>
    <w:rsid w:val="5D8840F0"/>
    <w:rsid w:val="5DA632F4"/>
    <w:rsid w:val="5DA71BDD"/>
    <w:rsid w:val="5DA831D9"/>
    <w:rsid w:val="5DBF5E9C"/>
    <w:rsid w:val="5DE41831"/>
    <w:rsid w:val="5DF04865"/>
    <w:rsid w:val="5DFD1912"/>
    <w:rsid w:val="5E22432D"/>
    <w:rsid w:val="5E2D4789"/>
    <w:rsid w:val="5E36363E"/>
    <w:rsid w:val="5E385608"/>
    <w:rsid w:val="5E4A70E9"/>
    <w:rsid w:val="5E540CE9"/>
    <w:rsid w:val="5E565C94"/>
    <w:rsid w:val="5E8720EC"/>
    <w:rsid w:val="5E8E1C0D"/>
    <w:rsid w:val="5E8E347A"/>
    <w:rsid w:val="5E9A1E1F"/>
    <w:rsid w:val="5EB8503C"/>
    <w:rsid w:val="5ED62E95"/>
    <w:rsid w:val="5EF502AC"/>
    <w:rsid w:val="5EFD36AE"/>
    <w:rsid w:val="5F021EAB"/>
    <w:rsid w:val="5F134BAA"/>
    <w:rsid w:val="5F144235"/>
    <w:rsid w:val="5F1C5ECE"/>
    <w:rsid w:val="5F2622DE"/>
    <w:rsid w:val="5F3106FA"/>
    <w:rsid w:val="5F574316"/>
    <w:rsid w:val="5F670706"/>
    <w:rsid w:val="5F7D704B"/>
    <w:rsid w:val="5F8D36BF"/>
    <w:rsid w:val="5F904FD0"/>
    <w:rsid w:val="5F914B83"/>
    <w:rsid w:val="5F9468A5"/>
    <w:rsid w:val="5FA628F6"/>
    <w:rsid w:val="5FAF1D11"/>
    <w:rsid w:val="5FB915C1"/>
    <w:rsid w:val="5FC77149"/>
    <w:rsid w:val="5FDC1C1E"/>
    <w:rsid w:val="5FF612D7"/>
    <w:rsid w:val="60057095"/>
    <w:rsid w:val="60074E6A"/>
    <w:rsid w:val="60194FC5"/>
    <w:rsid w:val="603F6634"/>
    <w:rsid w:val="60630BF0"/>
    <w:rsid w:val="606F2E37"/>
    <w:rsid w:val="60835262"/>
    <w:rsid w:val="60850D79"/>
    <w:rsid w:val="60877B83"/>
    <w:rsid w:val="60892113"/>
    <w:rsid w:val="6096281D"/>
    <w:rsid w:val="60BE791B"/>
    <w:rsid w:val="60C51D11"/>
    <w:rsid w:val="60C966A4"/>
    <w:rsid w:val="60EF425E"/>
    <w:rsid w:val="60F021CA"/>
    <w:rsid w:val="60F55502"/>
    <w:rsid w:val="60FD179A"/>
    <w:rsid w:val="61025186"/>
    <w:rsid w:val="61057F3A"/>
    <w:rsid w:val="610C6A7E"/>
    <w:rsid w:val="610E3843"/>
    <w:rsid w:val="611F1F5D"/>
    <w:rsid w:val="614505C7"/>
    <w:rsid w:val="6148324C"/>
    <w:rsid w:val="61534507"/>
    <w:rsid w:val="615D00D5"/>
    <w:rsid w:val="616E0DA1"/>
    <w:rsid w:val="617A7CE6"/>
    <w:rsid w:val="617E5764"/>
    <w:rsid w:val="61A04973"/>
    <w:rsid w:val="61A06CDF"/>
    <w:rsid w:val="61C947C9"/>
    <w:rsid w:val="61D70C94"/>
    <w:rsid w:val="61E57197"/>
    <w:rsid w:val="61FD0357"/>
    <w:rsid w:val="620200DC"/>
    <w:rsid w:val="62175A17"/>
    <w:rsid w:val="62185DFF"/>
    <w:rsid w:val="622F7F12"/>
    <w:rsid w:val="62593D9F"/>
    <w:rsid w:val="626341C3"/>
    <w:rsid w:val="626C5004"/>
    <w:rsid w:val="62762F36"/>
    <w:rsid w:val="62952CD2"/>
    <w:rsid w:val="62B50F76"/>
    <w:rsid w:val="62BA1B68"/>
    <w:rsid w:val="62BE2372"/>
    <w:rsid w:val="62C21944"/>
    <w:rsid w:val="62C4226B"/>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651249"/>
    <w:rsid w:val="637531E7"/>
    <w:rsid w:val="63890060"/>
    <w:rsid w:val="63927568"/>
    <w:rsid w:val="639B6DD8"/>
    <w:rsid w:val="63B079D6"/>
    <w:rsid w:val="63B41EC4"/>
    <w:rsid w:val="63C74A65"/>
    <w:rsid w:val="63F35B2D"/>
    <w:rsid w:val="64191539"/>
    <w:rsid w:val="64632CB3"/>
    <w:rsid w:val="64727D2E"/>
    <w:rsid w:val="64816AE5"/>
    <w:rsid w:val="64AE7AF2"/>
    <w:rsid w:val="64C5571C"/>
    <w:rsid w:val="64D045E1"/>
    <w:rsid w:val="64D771FD"/>
    <w:rsid w:val="64DE20F3"/>
    <w:rsid w:val="64E060B2"/>
    <w:rsid w:val="65037FF2"/>
    <w:rsid w:val="652C5B50"/>
    <w:rsid w:val="654A1C49"/>
    <w:rsid w:val="655C6618"/>
    <w:rsid w:val="655D7993"/>
    <w:rsid w:val="6563181F"/>
    <w:rsid w:val="65AB2B63"/>
    <w:rsid w:val="65D26342"/>
    <w:rsid w:val="65F71905"/>
    <w:rsid w:val="65FD5525"/>
    <w:rsid w:val="660118BB"/>
    <w:rsid w:val="66214BD4"/>
    <w:rsid w:val="6625501B"/>
    <w:rsid w:val="663D7000"/>
    <w:rsid w:val="66443A2E"/>
    <w:rsid w:val="6646463A"/>
    <w:rsid w:val="664A7C13"/>
    <w:rsid w:val="665E7BD6"/>
    <w:rsid w:val="6663181D"/>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B61C59"/>
    <w:rsid w:val="67D81583"/>
    <w:rsid w:val="67DF08A2"/>
    <w:rsid w:val="67E05984"/>
    <w:rsid w:val="67E1286C"/>
    <w:rsid w:val="67E326A6"/>
    <w:rsid w:val="67E71D9C"/>
    <w:rsid w:val="67E73BFB"/>
    <w:rsid w:val="67EA64C8"/>
    <w:rsid w:val="67ED316C"/>
    <w:rsid w:val="67F73E3E"/>
    <w:rsid w:val="68000819"/>
    <w:rsid w:val="68064081"/>
    <w:rsid w:val="68091050"/>
    <w:rsid w:val="680D317C"/>
    <w:rsid w:val="681C3A47"/>
    <w:rsid w:val="682416D5"/>
    <w:rsid w:val="683706DE"/>
    <w:rsid w:val="684959CD"/>
    <w:rsid w:val="685875C0"/>
    <w:rsid w:val="685B114C"/>
    <w:rsid w:val="685C79C8"/>
    <w:rsid w:val="686A0D5C"/>
    <w:rsid w:val="689478DF"/>
    <w:rsid w:val="689618A9"/>
    <w:rsid w:val="68A2260D"/>
    <w:rsid w:val="68A778F7"/>
    <w:rsid w:val="68AA3957"/>
    <w:rsid w:val="68CE3A97"/>
    <w:rsid w:val="68DA236B"/>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E20B1E"/>
    <w:rsid w:val="69EA1E9A"/>
    <w:rsid w:val="69EB1780"/>
    <w:rsid w:val="69F1555E"/>
    <w:rsid w:val="69F34AD9"/>
    <w:rsid w:val="6A3B5C82"/>
    <w:rsid w:val="6A4A2422"/>
    <w:rsid w:val="6A4B7EB5"/>
    <w:rsid w:val="6A627569"/>
    <w:rsid w:val="6A694C78"/>
    <w:rsid w:val="6A7B324A"/>
    <w:rsid w:val="6A935934"/>
    <w:rsid w:val="6AA843DD"/>
    <w:rsid w:val="6AB95FA7"/>
    <w:rsid w:val="6ABE6E95"/>
    <w:rsid w:val="6AC743A9"/>
    <w:rsid w:val="6AD66F32"/>
    <w:rsid w:val="6ADE7537"/>
    <w:rsid w:val="6AFF2F4A"/>
    <w:rsid w:val="6B0B7337"/>
    <w:rsid w:val="6B1E4154"/>
    <w:rsid w:val="6B3727A3"/>
    <w:rsid w:val="6B446275"/>
    <w:rsid w:val="6B556742"/>
    <w:rsid w:val="6B6044F3"/>
    <w:rsid w:val="6B635FEF"/>
    <w:rsid w:val="6B8E51BB"/>
    <w:rsid w:val="6B971160"/>
    <w:rsid w:val="6BB44002"/>
    <w:rsid w:val="6BCB43C3"/>
    <w:rsid w:val="6BD32735"/>
    <w:rsid w:val="6BE0108D"/>
    <w:rsid w:val="6BE51400"/>
    <w:rsid w:val="6BF310DF"/>
    <w:rsid w:val="6BF902D6"/>
    <w:rsid w:val="6BF9385F"/>
    <w:rsid w:val="6BFD68E4"/>
    <w:rsid w:val="6C0C2A49"/>
    <w:rsid w:val="6C1F551D"/>
    <w:rsid w:val="6C5764F3"/>
    <w:rsid w:val="6C587E10"/>
    <w:rsid w:val="6C6B2C38"/>
    <w:rsid w:val="6C726A22"/>
    <w:rsid w:val="6C7C7593"/>
    <w:rsid w:val="6C806981"/>
    <w:rsid w:val="6C922AD0"/>
    <w:rsid w:val="6CA624EA"/>
    <w:rsid w:val="6CE1662C"/>
    <w:rsid w:val="6CF50484"/>
    <w:rsid w:val="6D0C6300"/>
    <w:rsid w:val="6D126628"/>
    <w:rsid w:val="6D2F5E28"/>
    <w:rsid w:val="6D4C69DA"/>
    <w:rsid w:val="6D5D0BE7"/>
    <w:rsid w:val="6D5E670D"/>
    <w:rsid w:val="6D5F1454"/>
    <w:rsid w:val="6D6F7A81"/>
    <w:rsid w:val="6D7061B6"/>
    <w:rsid w:val="6D7B35C7"/>
    <w:rsid w:val="6D7C1232"/>
    <w:rsid w:val="6D8E28E7"/>
    <w:rsid w:val="6D927B87"/>
    <w:rsid w:val="6D97331C"/>
    <w:rsid w:val="6DAC1EBF"/>
    <w:rsid w:val="6DD00252"/>
    <w:rsid w:val="6DD12C6E"/>
    <w:rsid w:val="6DF66946"/>
    <w:rsid w:val="6E0702C3"/>
    <w:rsid w:val="6E082F8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F2134E9"/>
    <w:rsid w:val="6F2274F4"/>
    <w:rsid w:val="6F5E68E4"/>
    <w:rsid w:val="6F612952"/>
    <w:rsid w:val="6F63625D"/>
    <w:rsid w:val="6F667AFB"/>
    <w:rsid w:val="6F7D47CA"/>
    <w:rsid w:val="6FA42F27"/>
    <w:rsid w:val="6FB15812"/>
    <w:rsid w:val="6FBE7D30"/>
    <w:rsid w:val="6FCA008A"/>
    <w:rsid w:val="6FCD1928"/>
    <w:rsid w:val="6FEC3A4A"/>
    <w:rsid w:val="6FFE7D34"/>
    <w:rsid w:val="700215D2"/>
    <w:rsid w:val="70041245"/>
    <w:rsid w:val="700A492A"/>
    <w:rsid w:val="702C14B7"/>
    <w:rsid w:val="704448C6"/>
    <w:rsid w:val="706C0193"/>
    <w:rsid w:val="70741141"/>
    <w:rsid w:val="70785D38"/>
    <w:rsid w:val="707B5FC7"/>
    <w:rsid w:val="70906F8C"/>
    <w:rsid w:val="70A628A5"/>
    <w:rsid w:val="70AA7138"/>
    <w:rsid w:val="70B84386"/>
    <w:rsid w:val="70D310F1"/>
    <w:rsid w:val="70DC117A"/>
    <w:rsid w:val="70E27834"/>
    <w:rsid w:val="70EB4526"/>
    <w:rsid w:val="70F03B20"/>
    <w:rsid w:val="70F52EE5"/>
    <w:rsid w:val="71123BD4"/>
    <w:rsid w:val="712D566C"/>
    <w:rsid w:val="713734FD"/>
    <w:rsid w:val="715369D8"/>
    <w:rsid w:val="715646E5"/>
    <w:rsid w:val="715B5F41"/>
    <w:rsid w:val="715C11B6"/>
    <w:rsid w:val="716F59F0"/>
    <w:rsid w:val="717004AF"/>
    <w:rsid w:val="7174734E"/>
    <w:rsid w:val="719941B8"/>
    <w:rsid w:val="71AA1F21"/>
    <w:rsid w:val="71B55328"/>
    <w:rsid w:val="71BD6174"/>
    <w:rsid w:val="71D75EC6"/>
    <w:rsid w:val="71DC52F1"/>
    <w:rsid w:val="71E80D3A"/>
    <w:rsid w:val="721044EA"/>
    <w:rsid w:val="72152B95"/>
    <w:rsid w:val="72174375"/>
    <w:rsid w:val="72191B99"/>
    <w:rsid w:val="72210452"/>
    <w:rsid w:val="72233D38"/>
    <w:rsid w:val="722E2B52"/>
    <w:rsid w:val="72307CD9"/>
    <w:rsid w:val="726C012F"/>
    <w:rsid w:val="72705875"/>
    <w:rsid w:val="727158F8"/>
    <w:rsid w:val="72785B7B"/>
    <w:rsid w:val="729579C2"/>
    <w:rsid w:val="729A69FD"/>
    <w:rsid w:val="729D25D4"/>
    <w:rsid w:val="72B5448A"/>
    <w:rsid w:val="72B62B48"/>
    <w:rsid w:val="72C60FDD"/>
    <w:rsid w:val="72E5799D"/>
    <w:rsid w:val="72EC25A5"/>
    <w:rsid w:val="73067E35"/>
    <w:rsid w:val="731D4975"/>
    <w:rsid w:val="73267FC6"/>
    <w:rsid w:val="73351CBE"/>
    <w:rsid w:val="73373C88"/>
    <w:rsid w:val="735A362C"/>
    <w:rsid w:val="736E6F7E"/>
    <w:rsid w:val="73A1666C"/>
    <w:rsid w:val="73A346B2"/>
    <w:rsid w:val="73AA2322"/>
    <w:rsid w:val="73C24F7C"/>
    <w:rsid w:val="73CF7075"/>
    <w:rsid w:val="73D66229"/>
    <w:rsid w:val="73DF5113"/>
    <w:rsid w:val="73FA0DCA"/>
    <w:rsid w:val="741D6775"/>
    <w:rsid w:val="74200DBA"/>
    <w:rsid w:val="7427458C"/>
    <w:rsid w:val="74281CF2"/>
    <w:rsid w:val="74371B9E"/>
    <w:rsid w:val="743C6063"/>
    <w:rsid w:val="743D36AF"/>
    <w:rsid w:val="744300D4"/>
    <w:rsid w:val="74681C20"/>
    <w:rsid w:val="74820F33"/>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603382F"/>
    <w:rsid w:val="761C5B48"/>
    <w:rsid w:val="7621658C"/>
    <w:rsid w:val="76312C11"/>
    <w:rsid w:val="76385D93"/>
    <w:rsid w:val="76391E51"/>
    <w:rsid w:val="763E0E8A"/>
    <w:rsid w:val="763E70DC"/>
    <w:rsid w:val="764B089B"/>
    <w:rsid w:val="76537293"/>
    <w:rsid w:val="7678005C"/>
    <w:rsid w:val="767C6EB0"/>
    <w:rsid w:val="76917A5A"/>
    <w:rsid w:val="769D65B1"/>
    <w:rsid w:val="769E7B7B"/>
    <w:rsid w:val="76DA7925"/>
    <w:rsid w:val="76DC69D5"/>
    <w:rsid w:val="76F0487A"/>
    <w:rsid w:val="77106CCA"/>
    <w:rsid w:val="775B61E3"/>
    <w:rsid w:val="77662524"/>
    <w:rsid w:val="7788574F"/>
    <w:rsid w:val="778C3E77"/>
    <w:rsid w:val="779A17FF"/>
    <w:rsid w:val="779C64D3"/>
    <w:rsid w:val="779D6084"/>
    <w:rsid w:val="77BC70EA"/>
    <w:rsid w:val="77D953E8"/>
    <w:rsid w:val="77F760F1"/>
    <w:rsid w:val="780103C1"/>
    <w:rsid w:val="780446B8"/>
    <w:rsid w:val="78171191"/>
    <w:rsid w:val="781F5ABC"/>
    <w:rsid w:val="78327625"/>
    <w:rsid w:val="78441CF7"/>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BB1A31"/>
    <w:rsid w:val="79BE2540"/>
    <w:rsid w:val="79C50972"/>
    <w:rsid w:val="79DD0015"/>
    <w:rsid w:val="79DF047A"/>
    <w:rsid w:val="79E420F9"/>
    <w:rsid w:val="79FA5A10"/>
    <w:rsid w:val="7A012D50"/>
    <w:rsid w:val="7A160049"/>
    <w:rsid w:val="7A22447B"/>
    <w:rsid w:val="7A231265"/>
    <w:rsid w:val="7A2C3F9B"/>
    <w:rsid w:val="7A2D5B1B"/>
    <w:rsid w:val="7A364867"/>
    <w:rsid w:val="7A385760"/>
    <w:rsid w:val="7A475BE8"/>
    <w:rsid w:val="7A5F3B2B"/>
    <w:rsid w:val="7A617B86"/>
    <w:rsid w:val="7A6E2FAE"/>
    <w:rsid w:val="7A804CC0"/>
    <w:rsid w:val="7A833DED"/>
    <w:rsid w:val="7AAF48BB"/>
    <w:rsid w:val="7ABC6C2B"/>
    <w:rsid w:val="7AE71A39"/>
    <w:rsid w:val="7AED5B87"/>
    <w:rsid w:val="7AF3020A"/>
    <w:rsid w:val="7AFB284F"/>
    <w:rsid w:val="7B020A9A"/>
    <w:rsid w:val="7B0D6732"/>
    <w:rsid w:val="7B12094C"/>
    <w:rsid w:val="7B233B80"/>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5403F"/>
    <w:rsid w:val="7BDB40F3"/>
    <w:rsid w:val="7BF66548"/>
    <w:rsid w:val="7C120DEF"/>
    <w:rsid w:val="7C175BC3"/>
    <w:rsid w:val="7C1E3B8B"/>
    <w:rsid w:val="7C2B2058"/>
    <w:rsid w:val="7C2F0744"/>
    <w:rsid w:val="7C3C2310"/>
    <w:rsid w:val="7C495D51"/>
    <w:rsid w:val="7C4E4E6B"/>
    <w:rsid w:val="7C5B4519"/>
    <w:rsid w:val="7CA671F5"/>
    <w:rsid w:val="7CAF4890"/>
    <w:rsid w:val="7CE147E7"/>
    <w:rsid w:val="7CF20277"/>
    <w:rsid w:val="7D032E2D"/>
    <w:rsid w:val="7D311F8A"/>
    <w:rsid w:val="7D382624"/>
    <w:rsid w:val="7D533714"/>
    <w:rsid w:val="7D5E036D"/>
    <w:rsid w:val="7D645E92"/>
    <w:rsid w:val="7D8D0443"/>
    <w:rsid w:val="7D8F2F7A"/>
    <w:rsid w:val="7DA2607B"/>
    <w:rsid w:val="7DBB0E5C"/>
    <w:rsid w:val="7DCB6D0A"/>
    <w:rsid w:val="7DD56578"/>
    <w:rsid w:val="7DE373FB"/>
    <w:rsid w:val="7DE8109A"/>
    <w:rsid w:val="7DE820A4"/>
    <w:rsid w:val="7DE828A2"/>
    <w:rsid w:val="7DED1B13"/>
    <w:rsid w:val="7DF369FE"/>
    <w:rsid w:val="7E1625FD"/>
    <w:rsid w:val="7E2D1F10"/>
    <w:rsid w:val="7E2D35B4"/>
    <w:rsid w:val="7E494BD9"/>
    <w:rsid w:val="7E4B1B80"/>
    <w:rsid w:val="7E50662D"/>
    <w:rsid w:val="7E957AB5"/>
    <w:rsid w:val="7E97382D"/>
    <w:rsid w:val="7E9E59A4"/>
    <w:rsid w:val="7EAA47F1"/>
    <w:rsid w:val="7EAF3C8A"/>
    <w:rsid w:val="7ED74AAE"/>
    <w:rsid w:val="7EE60311"/>
    <w:rsid w:val="7F051124"/>
    <w:rsid w:val="7F1C3D32"/>
    <w:rsid w:val="7F2214CF"/>
    <w:rsid w:val="7F4D76B4"/>
    <w:rsid w:val="7F54171E"/>
    <w:rsid w:val="7F572FBC"/>
    <w:rsid w:val="7F5C06EB"/>
    <w:rsid w:val="7F7841A9"/>
    <w:rsid w:val="7F916590"/>
    <w:rsid w:val="7F9D4E73"/>
    <w:rsid w:val="7FBD585C"/>
    <w:rsid w:val="7FF157CA"/>
    <w:rsid w:val="7FFB0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autoRedefine/>
    <w:qFormat/>
    <w:uiPriority w:val="0"/>
    <w:pPr>
      <w:keepNext/>
      <w:jc w:val="center"/>
      <w:outlineLvl w:val="1"/>
    </w:pPr>
    <w:rPr>
      <w:rFonts w:ascii="仿宋_GB2312" w:hAnsi="宋体" w:eastAsia="仿宋_GB2312"/>
      <w:sz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5"/>
    <w:autoRedefine/>
    <w:qFormat/>
    <w:uiPriority w:val="0"/>
    <w:pPr>
      <w:keepNext/>
      <w:keepLines/>
      <w:spacing w:before="280" w:after="290" w:line="376" w:lineRule="auto"/>
      <w:outlineLvl w:val="3"/>
    </w:pPr>
    <w:rPr>
      <w:rFonts w:ascii="等线 Light" w:hAnsi="等线 Light" w:eastAsia="等线 Light"/>
      <w:b/>
      <w:bCs/>
      <w:sz w:val="28"/>
      <w:szCs w:val="28"/>
      <w:lang w:val="zh-CN" w:eastAsia="zh-CN"/>
    </w:rPr>
  </w:style>
  <w:style w:type="paragraph" w:styleId="6">
    <w:name w:val="heading 9"/>
    <w:basedOn w:val="1"/>
    <w:next w:val="1"/>
    <w:autoRedefine/>
    <w:qFormat/>
    <w:uiPriority w:val="0"/>
    <w:pPr>
      <w:spacing w:before="240" w:after="64" w:line="317" w:lineRule="auto"/>
      <w:outlineLvl w:val="8"/>
    </w:pPr>
    <w:rPr>
      <w:rFonts w:asci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autoRedefine/>
    <w:qFormat/>
    <w:uiPriority w:val="0"/>
    <w:pPr>
      <w:overflowPunct w:val="0"/>
      <w:adjustRightInd w:val="0"/>
      <w:snapToGrid w:val="0"/>
      <w:spacing w:line="300" w:lineRule="auto"/>
      <w:jc w:val="center"/>
    </w:pPr>
    <w:rPr>
      <w:szCs w:val="20"/>
    </w:rPr>
  </w:style>
  <w:style w:type="paragraph" w:styleId="8">
    <w:name w:val="index 8"/>
    <w:basedOn w:val="1"/>
    <w:next w:val="1"/>
    <w:autoRedefine/>
    <w:qFormat/>
    <w:uiPriority w:val="0"/>
    <w:pPr>
      <w:spacing w:line="276" w:lineRule="auto"/>
      <w:jc w:val="left"/>
    </w:pPr>
    <w:rPr>
      <w:rFonts w:ascii="宋体" w:hAnsi="宋体"/>
      <w:color w:val="FF0000"/>
      <w:szCs w:val="21"/>
    </w:rPr>
  </w:style>
  <w:style w:type="paragraph" w:styleId="9">
    <w:name w:val="Normal Indent"/>
    <w:basedOn w:val="1"/>
    <w:autoRedefine/>
    <w:qFormat/>
    <w:uiPriority w:val="0"/>
    <w:pPr>
      <w:ind w:firstLine="420" w:firstLineChars="200"/>
    </w:pPr>
  </w:style>
  <w:style w:type="paragraph" w:styleId="10">
    <w:name w:val="Document Map"/>
    <w:basedOn w:val="1"/>
    <w:autoRedefine/>
    <w:qFormat/>
    <w:uiPriority w:val="0"/>
    <w:pPr>
      <w:shd w:val="clear" w:color="auto" w:fill="000080"/>
    </w:pPr>
  </w:style>
  <w:style w:type="paragraph" w:styleId="11">
    <w:name w:val="annotation text"/>
    <w:basedOn w:val="1"/>
    <w:link w:val="44"/>
    <w:autoRedefine/>
    <w:qFormat/>
    <w:uiPriority w:val="0"/>
    <w:pPr>
      <w:jc w:val="left"/>
    </w:pPr>
    <w:rPr>
      <w:lang w:val="zh-CN" w:eastAsia="zh-CN"/>
    </w:rPr>
  </w:style>
  <w:style w:type="paragraph" w:styleId="12">
    <w:name w:val="Body Text"/>
    <w:basedOn w:val="1"/>
    <w:autoRedefine/>
    <w:qFormat/>
    <w:uiPriority w:val="0"/>
    <w:rPr>
      <w:rFonts w:ascii="宋体" w:hAnsi="宋体"/>
      <w:sz w:val="28"/>
    </w:rPr>
  </w:style>
  <w:style w:type="paragraph" w:styleId="13">
    <w:name w:val="Body Text Indent"/>
    <w:basedOn w:val="1"/>
    <w:autoRedefine/>
    <w:qFormat/>
    <w:uiPriority w:val="0"/>
    <w:pPr>
      <w:snapToGrid w:val="0"/>
      <w:spacing w:line="500" w:lineRule="exact"/>
      <w:ind w:firstLine="358" w:firstLineChars="128"/>
    </w:pPr>
    <w:rPr>
      <w:rFonts w:ascii="宋体" w:hAnsi="宋体"/>
      <w:sz w:val="28"/>
    </w:rPr>
  </w:style>
  <w:style w:type="paragraph" w:styleId="14">
    <w:name w:val="toc 3"/>
    <w:basedOn w:val="1"/>
    <w:next w:val="1"/>
    <w:autoRedefine/>
    <w:qFormat/>
    <w:uiPriority w:val="39"/>
    <w:pPr>
      <w:ind w:left="840" w:leftChars="400"/>
    </w:pPr>
  </w:style>
  <w:style w:type="paragraph" w:styleId="15">
    <w:name w:val="Plain Text"/>
    <w:basedOn w:val="1"/>
    <w:autoRedefine/>
    <w:qFormat/>
    <w:uiPriority w:val="0"/>
    <w:rPr>
      <w:rFonts w:ascii="宋体" w:hAnsi="Courier New"/>
      <w:szCs w:val="20"/>
    </w:rPr>
  </w:style>
  <w:style w:type="paragraph" w:styleId="16">
    <w:name w:val="Date"/>
    <w:basedOn w:val="1"/>
    <w:next w:val="1"/>
    <w:autoRedefine/>
    <w:qFormat/>
    <w:uiPriority w:val="0"/>
    <w:rPr>
      <w:sz w:val="24"/>
      <w:szCs w:val="20"/>
    </w:rPr>
  </w:style>
  <w:style w:type="paragraph" w:styleId="17">
    <w:name w:val="Body Text Indent 2"/>
    <w:basedOn w:val="1"/>
    <w:autoRedefine/>
    <w:qFormat/>
    <w:uiPriority w:val="0"/>
    <w:pPr>
      <w:spacing w:line="600" w:lineRule="exact"/>
      <w:ind w:firstLine="480" w:firstLineChars="200"/>
    </w:pPr>
    <w:rPr>
      <w:rFonts w:ascii="宋体" w:hAnsi="宋体"/>
      <w:sz w:val="24"/>
    </w:rPr>
  </w:style>
  <w:style w:type="paragraph" w:styleId="18">
    <w:name w:val="Balloon Text"/>
    <w:basedOn w:val="1"/>
    <w:autoRedefine/>
    <w:qFormat/>
    <w:uiPriority w:val="0"/>
    <w:rPr>
      <w:sz w:val="18"/>
      <w:szCs w:val="18"/>
    </w:rPr>
  </w:style>
  <w:style w:type="paragraph" w:styleId="19">
    <w:name w:val="footer"/>
    <w:basedOn w:val="1"/>
    <w:link w:val="49"/>
    <w:autoRedefine/>
    <w:qFormat/>
    <w:uiPriority w:val="99"/>
    <w:pPr>
      <w:tabs>
        <w:tab w:val="center" w:pos="4153"/>
        <w:tab w:val="right" w:pos="8306"/>
      </w:tabs>
      <w:snapToGrid w:val="0"/>
      <w:jc w:val="left"/>
    </w:pPr>
    <w:rPr>
      <w:sz w:val="18"/>
      <w:szCs w:val="18"/>
      <w:lang w:val="zh-CN" w:eastAsia="zh-CN"/>
    </w:rPr>
  </w:style>
  <w:style w:type="paragraph" w:styleId="2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autoRedefine/>
    <w:qFormat/>
    <w:uiPriority w:val="39"/>
    <w:pPr>
      <w:widowControl/>
      <w:spacing w:before="120"/>
      <w:jc w:val="left"/>
    </w:pPr>
    <w:rPr>
      <w:b/>
      <w:bCs/>
      <w:i/>
      <w:iCs/>
      <w:kern w:val="0"/>
      <w:sz w:val="20"/>
      <w:szCs w:val="28"/>
    </w:rPr>
  </w:style>
  <w:style w:type="paragraph" w:styleId="22">
    <w:name w:val="footnote text"/>
    <w:basedOn w:val="1"/>
    <w:link w:val="67"/>
    <w:autoRedefine/>
    <w:qFormat/>
    <w:uiPriority w:val="0"/>
    <w:pPr>
      <w:snapToGrid w:val="0"/>
      <w:jc w:val="left"/>
    </w:pPr>
    <w:rPr>
      <w:rFonts w:ascii="Calibri" w:hAnsi="Calibri"/>
      <w:sz w:val="18"/>
      <w:szCs w:val="20"/>
    </w:rPr>
  </w:style>
  <w:style w:type="paragraph" w:styleId="23">
    <w:name w:val="toc 2"/>
    <w:basedOn w:val="1"/>
    <w:next w:val="1"/>
    <w:autoRedefine/>
    <w:qFormat/>
    <w:uiPriority w:val="39"/>
    <w:pPr>
      <w:ind w:left="420" w:leftChars="200"/>
    </w:pPr>
  </w:style>
  <w:style w:type="paragraph" w:styleId="24">
    <w:name w:val="Body Text 2"/>
    <w:basedOn w:val="1"/>
    <w:autoRedefine/>
    <w:qFormat/>
    <w:uiPriority w:val="0"/>
    <w:pPr>
      <w:spacing w:line="600" w:lineRule="exact"/>
    </w:pPr>
    <w:rPr>
      <w:rFonts w:ascii="宋体" w:hAnsi="宋体"/>
      <w:sz w:val="24"/>
    </w:rPr>
  </w:style>
  <w:style w:type="paragraph" w:styleId="25">
    <w:name w:val="Normal (Web)"/>
    <w:basedOn w:val="1"/>
    <w:autoRedefine/>
    <w:qFormat/>
    <w:uiPriority w:val="0"/>
    <w:pPr>
      <w:spacing w:before="100" w:beforeAutospacing="1" w:after="100" w:afterAutospacing="1"/>
      <w:jc w:val="left"/>
    </w:pPr>
    <w:rPr>
      <w:kern w:val="0"/>
      <w:sz w:val="24"/>
    </w:rPr>
  </w:style>
  <w:style w:type="paragraph" w:styleId="26">
    <w:name w:val="annotation subject"/>
    <w:basedOn w:val="11"/>
    <w:next w:val="11"/>
    <w:link w:val="48"/>
    <w:autoRedefine/>
    <w:qFormat/>
    <w:uiPriority w:val="0"/>
    <w:rPr>
      <w:b/>
      <w:bCs/>
    </w:rPr>
  </w:style>
  <w:style w:type="paragraph" w:styleId="27">
    <w:name w:val="Body Text First Indent"/>
    <w:basedOn w:val="12"/>
    <w:autoRedefine/>
    <w:qFormat/>
    <w:uiPriority w:val="0"/>
    <w:pPr>
      <w:ind w:firstLine="420" w:firstLineChars="100"/>
    </w:pPr>
    <w:rPr>
      <w:sz w:val="34"/>
    </w:rPr>
  </w:style>
  <w:style w:type="paragraph" w:styleId="28">
    <w:name w:val="Body Text First Indent 2"/>
    <w:basedOn w:val="13"/>
    <w:autoRedefine/>
    <w:qFormat/>
    <w:uiPriority w:val="99"/>
    <w:pPr>
      <w:spacing w:after="120" w:line="360" w:lineRule="auto"/>
      <w:ind w:left="420" w:leftChars="200" w:firstLine="420"/>
    </w:pPr>
  </w:style>
  <w:style w:type="table" w:styleId="30">
    <w:name w:val="Table Grid"/>
    <w:basedOn w:val="2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0"/>
    <w:rPr>
      <w:rFonts w:ascii="Times New Roman" w:hAnsi="Times New Roman" w:eastAsia="宋体" w:cs="Times New Roman"/>
      <w:b/>
      <w:bCs/>
    </w:rPr>
  </w:style>
  <w:style w:type="character" w:styleId="33">
    <w:name w:val="page number"/>
    <w:autoRedefine/>
    <w:qFormat/>
    <w:uiPriority w:val="0"/>
    <w:rPr>
      <w:rFonts w:ascii="Times New Roman" w:hAnsi="Times New Roman" w:eastAsia="宋体" w:cs="Times New Roman"/>
    </w:rPr>
  </w:style>
  <w:style w:type="character" w:styleId="34">
    <w:name w:val="FollowedHyperlink"/>
    <w:autoRedefine/>
    <w:qFormat/>
    <w:uiPriority w:val="0"/>
    <w:rPr>
      <w:rFonts w:ascii="Times New Roman" w:hAnsi="Times New Roman" w:eastAsia="宋体" w:cs="Times New Roman"/>
      <w:color w:val="333333"/>
      <w:u w:val="none"/>
    </w:rPr>
  </w:style>
  <w:style w:type="character" w:styleId="35">
    <w:name w:val="Emphasis"/>
    <w:autoRedefine/>
    <w:qFormat/>
    <w:uiPriority w:val="0"/>
    <w:rPr>
      <w:rFonts w:ascii="Times New Roman" w:hAnsi="Times New Roman" w:eastAsia="宋体" w:cs="Times New Roman"/>
    </w:rPr>
  </w:style>
  <w:style w:type="character" w:styleId="36">
    <w:name w:val="HTML Definition"/>
    <w:autoRedefine/>
    <w:qFormat/>
    <w:uiPriority w:val="0"/>
    <w:rPr>
      <w:rFonts w:ascii="Times New Roman" w:hAnsi="Times New Roman" w:eastAsia="宋体" w:cs="Times New Roman"/>
    </w:rPr>
  </w:style>
  <w:style w:type="character" w:styleId="37">
    <w:name w:val="HTML Variable"/>
    <w:autoRedefine/>
    <w:qFormat/>
    <w:uiPriority w:val="0"/>
    <w:rPr>
      <w:rFonts w:ascii="Times New Roman" w:hAnsi="Times New Roman" w:eastAsia="宋体" w:cs="Times New Roman"/>
    </w:rPr>
  </w:style>
  <w:style w:type="character" w:styleId="38">
    <w:name w:val="Hyperlink"/>
    <w:autoRedefine/>
    <w:qFormat/>
    <w:uiPriority w:val="99"/>
    <w:rPr>
      <w:rFonts w:ascii="Times New Roman" w:hAnsi="Times New Roman" w:eastAsia="宋体" w:cs="Times New Roman"/>
      <w:color w:val="333333"/>
      <w:u w:val="none"/>
    </w:rPr>
  </w:style>
  <w:style w:type="character" w:styleId="39">
    <w:name w:val="HTML Code"/>
    <w:autoRedefine/>
    <w:qFormat/>
    <w:uiPriority w:val="0"/>
    <w:rPr>
      <w:rFonts w:ascii="Courier New" w:hAnsi="Courier New" w:eastAsia="宋体" w:cs="Times New Roman"/>
      <w:sz w:val="20"/>
    </w:rPr>
  </w:style>
  <w:style w:type="character" w:styleId="40">
    <w:name w:val="annotation reference"/>
    <w:autoRedefine/>
    <w:qFormat/>
    <w:uiPriority w:val="0"/>
    <w:rPr>
      <w:rFonts w:ascii="Times New Roman" w:hAnsi="Times New Roman" w:eastAsia="宋体" w:cs="Times New Roman"/>
      <w:sz w:val="21"/>
      <w:szCs w:val="21"/>
    </w:rPr>
  </w:style>
  <w:style w:type="character" w:styleId="41">
    <w:name w:val="HTML Cite"/>
    <w:autoRedefine/>
    <w:qFormat/>
    <w:uiPriority w:val="0"/>
    <w:rPr>
      <w:rFonts w:ascii="Times New Roman" w:hAnsi="Times New Roman" w:eastAsia="宋体" w:cs="Times New Roman"/>
    </w:rPr>
  </w:style>
  <w:style w:type="character" w:styleId="42">
    <w:name w:val="footnote reference"/>
    <w:autoRedefine/>
    <w:qFormat/>
    <w:uiPriority w:val="0"/>
    <w:rPr>
      <w:vertAlign w:val="superscript"/>
    </w:rPr>
  </w:style>
  <w:style w:type="character" w:customStyle="1" w:styleId="43">
    <w:name w:val="注释标题 字符"/>
    <w:link w:val="7"/>
    <w:autoRedefine/>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autoRedefine/>
    <w:qFormat/>
    <w:uiPriority w:val="0"/>
    <w:rPr>
      <w:rFonts w:ascii="Times New Roman" w:hAnsi="Times New Roman" w:eastAsia="宋体" w:cs="Times New Roman"/>
      <w:kern w:val="2"/>
      <w:sz w:val="21"/>
      <w:szCs w:val="24"/>
    </w:rPr>
  </w:style>
  <w:style w:type="character" w:customStyle="1" w:styleId="45">
    <w:name w:val="标题 4 字符"/>
    <w:link w:val="5"/>
    <w:autoRedefine/>
    <w:qFormat/>
    <w:uiPriority w:val="0"/>
    <w:rPr>
      <w:rFonts w:ascii="等线 Light" w:hAnsi="等线 Light" w:eastAsia="等线 Light" w:cs="Times New Roman"/>
      <w:b/>
      <w:bCs/>
      <w:kern w:val="2"/>
      <w:sz w:val="28"/>
      <w:szCs w:val="28"/>
    </w:rPr>
  </w:style>
  <w:style w:type="character" w:customStyle="1" w:styleId="46">
    <w:name w:val="gonggao-downline1"/>
    <w:autoRedefine/>
    <w:qFormat/>
    <w:uiPriority w:val="0"/>
    <w:rPr>
      <w:rFonts w:ascii="Times New Roman" w:hAnsi="Times New Roman" w:eastAsia="宋体" w:cs="Times New Roman"/>
      <w:b/>
      <w:bCs/>
      <w:u w:val="single"/>
    </w:rPr>
  </w:style>
  <w:style w:type="character" w:customStyle="1" w:styleId="47">
    <w:name w:val="页眉 字符"/>
    <w:link w:val="20"/>
    <w:autoRedefine/>
    <w:qFormat/>
    <w:uiPriority w:val="99"/>
    <w:rPr>
      <w:rFonts w:ascii="Times New Roman" w:hAnsi="Times New Roman" w:eastAsia="宋体" w:cs="Times New Roman"/>
      <w:kern w:val="2"/>
      <w:sz w:val="18"/>
      <w:szCs w:val="18"/>
    </w:rPr>
  </w:style>
  <w:style w:type="character" w:customStyle="1" w:styleId="48">
    <w:name w:val="批注主题 字符"/>
    <w:link w:val="26"/>
    <w:autoRedefine/>
    <w:qFormat/>
    <w:uiPriority w:val="0"/>
    <w:rPr>
      <w:rFonts w:ascii="Times New Roman" w:hAnsi="Times New Roman" w:eastAsia="宋体" w:cs="Times New Roman"/>
      <w:b/>
      <w:bCs/>
      <w:kern w:val="2"/>
      <w:sz w:val="21"/>
      <w:szCs w:val="24"/>
    </w:rPr>
  </w:style>
  <w:style w:type="character" w:customStyle="1" w:styleId="49">
    <w:name w:val="页脚 字符1"/>
    <w:link w:val="19"/>
    <w:autoRedefine/>
    <w:qFormat/>
    <w:uiPriority w:val="0"/>
    <w:rPr>
      <w:rFonts w:ascii="Times New Roman" w:hAnsi="Times New Roman" w:eastAsia="宋体" w:cs="Times New Roman"/>
      <w:kern w:val="2"/>
      <w:sz w:val="18"/>
      <w:szCs w:val="18"/>
    </w:rPr>
  </w:style>
  <w:style w:type="character" w:customStyle="1" w:styleId="50">
    <w:name w:val="页脚 字符"/>
    <w:autoRedefine/>
    <w:qFormat/>
    <w:uiPriority w:val="99"/>
    <w:rPr>
      <w:rFonts w:ascii="Times New Roman" w:hAnsi="Times New Roman" w:eastAsia="宋体" w:cs="Times New Roman"/>
    </w:rPr>
  </w:style>
  <w:style w:type="paragraph" w:customStyle="1" w:styleId="51">
    <w:name w:val="无间隔1"/>
    <w:autoRedefine/>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autoRedefine/>
    <w:qFormat/>
    <w:uiPriority w:val="0"/>
  </w:style>
  <w:style w:type="paragraph" w:customStyle="1" w:styleId="53">
    <w:name w:val="样式2"/>
    <w:basedOn w:val="1"/>
    <w:next w:val="54"/>
    <w:autoRedefine/>
    <w:qFormat/>
    <w:uiPriority w:val="0"/>
    <w:pPr>
      <w:spacing w:line="410" w:lineRule="atLeast"/>
    </w:pPr>
    <w:rPr>
      <w:rFonts w:ascii="宋体"/>
      <w:sz w:val="34"/>
    </w:rPr>
  </w:style>
  <w:style w:type="paragraph" w:customStyle="1" w:styleId="54">
    <w:name w:val="页脚 New New New New New New New New New New"/>
    <w:next w:val="55"/>
    <w:autoRedefine/>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autoRedefine/>
    <w:qFormat/>
    <w:uiPriority w:val="0"/>
    <w:pPr>
      <w:widowControl w:val="0"/>
    </w:pPr>
    <w:rPr>
      <w:rFonts w:ascii="宋体" w:hAnsi="宋体" w:eastAsia="宋体" w:cs="宋体"/>
      <w:color w:val="000000"/>
      <w:sz w:val="24"/>
      <w:szCs w:val="24"/>
      <w:lang w:val="en-US" w:eastAsia="zh-CN" w:bidi="ar-SA"/>
    </w:rPr>
  </w:style>
  <w:style w:type="paragraph" w:customStyle="1" w:styleId="57">
    <w:name w:val="TOC Heading"/>
    <w:basedOn w:val="2"/>
    <w:next w:val="1"/>
    <w:autoRedefine/>
    <w:qFormat/>
    <w:uiPriority w:val="0"/>
    <w:pPr>
      <w:outlineLvl w:val="9"/>
    </w:pPr>
  </w:style>
  <w:style w:type="paragraph" w:customStyle="1" w:styleId="58">
    <w:name w:val="目录"/>
    <w:basedOn w:val="1"/>
    <w:autoRedefine/>
    <w:qFormat/>
    <w:uiPriority w:val="0"/>
    <w:pPr>
      <w:widowControl/>
      <w:jc w:val="center"/>
    </w:pPr>
    <w:rPr>
      <w:rFonts w:ascii="宋体"/>
      <w:b/>
      <w:kern w:val="0"/>
      <w:sz w:val="36"/>
      <w:szCs w:val="20"/>
    </w:rPr>
  </w:style>
  <w:style w:type="paragraph" w:styleId="59">
    <w:name w:val="List Paragraph"/>
    <w:basedOn w:val="1"/>
    <w:autoRedefine/>
    <w:qFormat/>
    <w:uiPriority w:val="34"/>
    <w:pPr>
      <w:ind w:firstLine="420" w:firstLineChars="200"/>
    </w:pPr>
  </w:style>
  <w:style w:type="paragraph" w:customStyle="1" w:styleId="60">
    <w:name w:val="正文首行缩进两字符"/>
    <w:basedOn w:val="1"/>
    <w:autoRedefine/>
    <w:qFormat/>
    <w:uiPriority w:val="0"/>
    <w:pPr>
      <w:spacing w:line="360" w:lineRule="auto"/>
      <w:ind w:firstLine="200" w:firstLineChars="200"/>
    </w:pPr>
  </w:style>
  <w:style w:type="paragraph" w:customStyle="1" w:styleId="61">
    <w:name w:val="Table Text"/>
    <w:basedOn w:val="1"/>
    <w:next w:val="52"/>
    <w:autoRedefine/>
    <w:qFormat/>
    <w:uiPriority w:val="0"/>
    <w:pPr>
      <w:widowControl/>
      <w:spacing w:before="60" w:after="60"/>
    </w:pPr>
    <w:rPr>
      <w:rFonts w:ascii="宋体"/>
    </w:rPr>
  </w:style>
  <w:style w:type="paragraph" w:customStyle="1" w:styleId="62">
    <w:name w:val="样式 首行缩进:  2 字符"/>
    <w:basedOn w:val="1"/>
    <w:autoRedefine/>
    <w:qFormat/>
    <w:uiPriority w:val="0"/>
    <w:pPr>
      <w:spacing w:line="400" w:lineRule="exact"/>
      <w:ind w:firstLine="200" w:firstLineChars="200"/>
    </w:pPr>
    <w:rPr>
      <w:rFonts w:cs="宋体"/>
      <w:sz w:val="24"/>
    </w:rPr>
  </w:style>
  <w:style w:type="paragraph" w:customStyle="1" w:styleId="63">
    <w:name w:val="_Style 6"/>
    <w:basedOn w:val="2"/>
    <w:next w:val="1"/>
    <w:autoRedefine/>
    <w:qFormat/>
    <w:uiPriority w:val="0"/>
    <w:pPr>
      <w:outlineLvl w:val="9"/>
    </w:pPr>
  </w:style>
  <w:style w:type="paragraph" w:customStyle="1" w:styleId="64">
    <w:name w:val="Char Char Char Char"/>
    <w:basedOn w:val="1"/>
    <w:autoRedefine/>
    <w:qFormat/>
    <w:uiPriority w:val="0"/>
  </w:style>
  <w:style w:type="paragraph" w:customStyle="1" w:styleId="65">
    <w:name w:val="Default"/>
    <w:next w:val="61"/>
    <w:autoRedefine/>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autoRedefine/>
    <w:qFormat/>
    <w:uiPriority w:val="0"/>
    <w:pPr>
      <w:widowControl/>
    </w:pPr>
    <w:rPr>
      <w:rFonts w:hint="eastAsia"/>
      <w:szCs w:val="20"/>
    </w:rPr>
  </w:style>
  <w:style w:type="character" w:customStyle="1" w:styleId="67">
    <w:name w:val="脚注文本 字符"/>
    <w:link w:val="22"/>
    <w:autoRedefine/>
    <w:qFormat/>
    <w:uiPriority w:val="0"/>
    <w:rPr>
      <w:rFonts w:ascii="Calibri" w:hAnsi="Calibri"/>
      <w:kern w:val="2"/>
      <w:sz w:val="18"/>
    </w:rPr>
  </w:style>
  <w:style w:type="character" w:customStyle="1" w:styleId="68">
    <w:name w:val="脚注文本 字符1"/>
    <w:autoRedefine/>
    <w:qFormat/>
    <w:uiPriority w:val="0"/>
    <w:rPr>
      <w:rFonts w:ascii="Times New Roman" w:hAnsi="Times New Roman" w:eastAsia="宋体" w:cs="Times New Roman"/>
      <w:kern w:val="2"/>
      <w:sz w:val="18"/>
      <w:szCs w:val="18"/>
    </w:rPr>
  </w:style>
  <w:style w:type="character" w:customStyle="1" w:styleId="69">
    <w:name w:val="标题 2 字符"/>
    <w:link w:val="3"/>
    <w:autoRedefine/>
    <w:qFormat/>
    <w:uiPriority w:val="0"/>
    <w:rPr>
      <w:rFonts w:ascii="仿宋_GB2312" w:hAnsi="宋体" w:eastAsia="仿宋_GB2312"/>
      <w:kern w:val="2"/>
      <w:sz w:val="32"/>
      <w:szCs w:val="24"/>
    </w:rPr>
  </w:style>
  <w:style w:type="paragraph" w:customStyle="1" w:styleId="70">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9428</Words>
  <Characters>10002</Characters>
  <Lines>114</Lines>
  <Paragraphs>32</Paragraphs>
  <TotalTime>0</TotalTime>
  <ScaleCrop>false</ScaleCrop>
  <LinksUpToDate>false</LinksUpToDate>
  <CharactersWithSpaces>10353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2021-09-06T00:38:00Z</dcterms:created>
  <dc:creator>cjzx</dc:creator>
  <cp:lastModifiedBy>CYZEE</cp:lastModifiedBy>
  <cp:lastPrinted>2024-01-25T06:38:00Z</cp:lastPrinted>
  <dcterms:modified xsi:type="dcterms:W3CDTF">2025-06-10T09:32:16Z</dcterms:modified>
  <dc:title>设计比选邀请书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946E6CF6BF6C4D68806E74EA3F1D8DA0_13</vt:lpwstr>
  </property>
  <property fmtid="{D5CDD505-2E9C-101B-9397-08002B2CF9AE}" pid="4" name="KSOTemplateDocerSaveRecord">
    <vt:lpwstr>eyJoZGlkIjoiZTNiMmJjMGUyMDNhMGI0MjllZTc4OTE3ODRjOTBjMWQiLCJ1c2VySWQiOiIxNTcyMDg2NDEzIn0=</vt:lpwstr>
  </property>
</Properties>
</file>