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4FADE">
      <w:pPr>
        <w:bidi w:val="0"/>
        <w:rPr>
          <w:rFonts w:hint="default" w:ascii="仿宋_GB2312" w:hAnsi="仿宋_GB2312" w:eastAsia="仿宋_GB2312" w:cs="仿宋_GB2312"/>
          <w:color w:val="auto"/>
          <w:sz w:val="32"/>
          <w:szCs w:val="32"/>
          <w:lang w:val="en-US" w:eastAsia="zh-CN"/>
        </w:rPr>
      </w:pPr>
      <w:bookmarkStart w:id="27" w:name="_GoBack"/>
      <w:bookmarkEnd w:id="27"/>
      <w:r>
        <w:rPr>
          <w:rFonts w:hint="eastAsia" w:ascii="仿宋_GB2312" w:hAnsi="仿宋_GB2312" w:eastAsia="仿宋_GB2312" w:cs="仿宋_GB2312"/>
          <w:color w:val="auto"/>
          <w:sz w:val="32"/>
          <w:szCs w:val="32"/>
          <w:lang w:val="en-US" w:eastAsia="zh-CN"/>
        </w:rPr>
        <w:t>附件一：</w:t>
      </w:r>
    </w:p>
    <w:p w14:paraId="79CF4A8C">
      <w:pPr>
        <w:bidi w:val="0"/>
        <w:rPr>
          <w:rFonts w:hint="eastAsia" w:ascii="仿宋_GB2312" w:hAnsi="仿宋_GB2312" w:eastAsia="仿宋_GB2312" w:cs="仿宋_GB2312"/>
          <w:color w:val="auto"/>
          <w:sz w:val="32"/>
          <w:szCs w:val="32"/>
        </w:rPr>
      </w:pPr>
    </w:p>
    <w:p w14:paraId="06560354">
      <w:pPr>
        <w:bidi w:val="0"/>
        <w:jc w:val="center"/>
        <w:outlineLvl w:val="0"/>
        <w:rPr>
          <w:rFonts w:hint="eastAsia" w:ascii="方正小标宋简体" w:hAnsi="方正小标宋简体" w:eastAsia="方正小标宋简体" w:cs="方正小标宋简体"/>
          <w:color w:val="auto"/>
          <w:sz w:val="44"/>
          <w:szCs w:val="52"/>
        </w:rPr>
      </w:pPr>
      <w:bookmarkStart w:id="0" w:name="_Toc12106"/>
      <w:bookmarkStart w:id="1" w:name="_Toc13096"/>
      <w:r>
        <w:rPr>
          <w:rFonts w:hint="eastAsia" w:ascii="方正小标宋简体" w:hAnsi="方正小标宋简体" w:eastAsia="方正小标宋简体" w:cs="方正小标宋简体"/>
          <w:color w:val="auto"/>
          <w:sz w:val="44"/>
          <w:szCs w:val="52"/>
        </w:rPr>
        <w:t>海南联合资产管理有限公司</w:t>
      </w:r>
      <w:bookmarkEnd w:id="0"/>
      <w:bookmarkEnd w:id="1"/>
    </w:p>
    <w:p w14:paraId="6ED1A40B">
      <w:pPr>
        <w:bidi w:val="0"/>
        <w:jc w:val="center"/>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52"/>
          <w:lang w:val="en-US" w:eastAsia="zh-CN"/>
        </w:rPr>
        <w:t>公开比选组建法律服务机构库项目</w:t>
      </w:r>
    </w:p>
    <w:p w14:paraId="0F440614">
      <w:pPr>
        <w:bidi w:val="0"/>
        <w:rPr>
          <w:rFonts w:hint="eastAsia" w:ascii="仿宋_GB2312" w:hAnsi="仿宋_GB2312" w:eastAsia="仿宋_GB2312" w:cs="仿宋_GB2312"/>
          <w:color w:val="auto"/>
          <w:sz w:val="32"/>
          <w:szCs w:val="32"/>
        </w:rPr>
      </w:pPr>
    </w:p>
    <w:p w14:paraId="6419D1DB">
      <w:pPr>
        <w:bidi w:val="0"/>
        <w:rPr>
          <w:rFonts w:hint="eastAsia" w:ascii="仿宋_GB2312" w:hAnsi="仿宋_GB2312" w:eastAsia="仿宋_GB2312" w:cs="仿宋_GB2312"/>
          <w:color w:val="auto"/>
          <w:sz w:val="32"/>
          <w:szCs w:val="32"/>
        </w:rPr>
      </w:pPr>
    </w:p>
    <w:p w14:paraId="39F8F5FC">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比</w:t>
      </w:r>
    </w:p>
    <w:p w14:paraId="583516C4">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选</w:t>
      </w:r>
    </w:p>
    <w:p w14:paraId="5A873809">
      <w:pPr>
        <w:bidi w:val="0"/>
        <w:jc w:val="center"/>
        <w:rPr>
          <w:rFonts w:hint="eastAsia"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文</w:t>
      </w:r>
    </w:p>
    <w:p w14:paraId="7262951E">
      <w:pPr>
        <w:bidi w:val="0"/>
        <w:jc w:val="center"/>
        <w:outlineLvl w:val="0"/>
        <w:rPr>
          <w:rFonts w:hint="eastAsia" w:ascii="方正小标宋简体" w:hAnsi="方正小标宋简体" w:eastAsia="方正小标宋简体" w:cs="方正小标宋简体"/>
          <w:color w:val="auto"/>
          <w:sz w:val="96"/>
          <w:szCs w:val="96"/>
        </w:rPr>
      </w:pPr>
      <w:bookmarkStart w:id="2" w:name="_Toc22705"/>
      <w:bookmarkStart w:id="3" w:name="_Toc8767"/>
      <w:r>
        <w:rPr>
          <w:rFonts w:hint="eastAsia" w:ascii="方正小标宋简体" w:hAnsi="方正小标宋简体" w:eastAsia="方正小标宋简体" w:cs="方正小标宋简体"/>
          <w:color w:val="auto"/>
          <w:sz w:val="96"/>
          <w:szCs w:val="96"/>
        </w:rPr>
        <w:t>件</w:t>
      </w:r>
      <w:bookmarkEnd w:id="2"/>
      <w:bookmarkEnd w:id="3"/>
    </w:p>
    <w:p w14:paraId="3346FB01">
      <w:pPr>
        <w:bidi w:val="0"/>
        <w:rPr>
          <w:rFonts w:hint="eastAsia" w:ascii="仿宋_GB2312" w:hAnsi="仿宋_GB2312" w:eastAsia="仿宋_GB2312" w:cs="仿宋_GB2312"/>
          <w:color w:val="auto"/>
          <w:sz w:val="32"/>
          <w:szCs w:val="32"/>
        </w:rPr>
      </w:pPr>
    </w:p>
    <w:p w14:paraId="1626392F">
      <w:pPr>
        <w:bidi w:val="0"/>
        <w:rPr>
          <w:rFonts w:hint="eastAsia" w:ascii="仿宋_GB2312" w:hAnsi="仿宋_GB2312" w:eastAsia="仿宋_GB2312" w:cs="仿宋_GB2312"/>
          <w:color w:val="auto"/>
          <w:sz w:val="32"/>
          <w:szCs w:val="32"/>
        </w:rPr>
      </w:pPr>
    </w:p>
    <w:p w14:paraId="484B14A2">
      <w:pPr>
        <w:bidi w:val="0"/>
        <w:ind w:firstLine="1280" w:firstLineChars="400"/>
        <w:outlineLvl w:val="0"/>
        <w:rPr>
          <w:rFonts w:hint="eastAsia" w:ascii="黑体" w:hAnsi="黑体" w:eastAsia="黑体" w:cs="黑体"/>
          <w:b w:val="0"/>
          <w:bCs w:val="0"/>
          <w:color w:val="auto"/>
          <w:sz w:val="32"/>
          <w:szCs w:val="32"/>
          <w:u w:val="single"/>
          <w:lang w:eastAsia="zh-CN"/>
        </w:rPr>
      </w:pPr>
      <w:bookmarkStart w:id="4" w:name="_Toc2296"/>
      <w:bookmarkStart w:id="5" w:name="_Toc22368"/>
      <w:r>
        <w:rPr>
          <w:rFonts w:hint="eastAsia" w:ascii="黑体" w:hAnsi="黑体" w:eastAsia="黑体" w:cs="黑体"/>
          <w:b w:val="0"/>
          <w:bCs w:val="0"/>
          <w:color w:val="auto"/>
          <w:sz w:val="32"/>
          <w:szCs w:val="32"/>
          <w:lang w:val="en-US" w:eastAsia="zh-CN"/>
        </w:rPr>
        <w:t>采 购 人</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u w:val="single"/>
        </w:rPr>
        <w:t>海南联合资产管理有限公司</w:t>
      </w:r>
      <w:bookmarkEnd w:id="4"/>
      <w:bookmarkEnd w:id="5"/>
    </w:p>
    <w:p w14:paraId="2F189110">
      <w:pPr>
        <w:bidi w:val="0"/>
        <w:ind w:firstLine="1280" w:firstLineChars="400"/>
        <w:rPr>
          <w:rFonts w:hint="eastAsia" w:ascii="黑体" w:hAnsi="黑体" w:eastAsia="黑体" w:cs="黑体"/>
          <w:b w:val="0"/>
          <w:bCs w:val="0"/>
          <w:color w:val="auto"/>
          <w:sz w:val="32"/>
          <w:szCs w:val="32"/>
          <w:u w:val="single"/>
          <w:lang w:val="en-US" w:eastAsia="zh-CN"/>
        </w:rPr>
      </w:pPr>
      <w:r>
        <w:rPr>
          <w:rFonts w:hint="eastAsia" w:ascii="黑体" w:hAnsi="黑体" w:eastAsia="黑体" w:cs="黑体"/>
          <w:b w:val="0"/>
          <w:bCs w:val="0"/>
          <w:color w:val="auto"/>
          <w:sz w:val="32"/>
          <w:szCs w:val="32"/>
          <w:lang w:val="en-US" w:eastAsia="zh-CN"/>
        </w:rPr>
        <w:t>采购日期</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u w:val="single"/>
        </w:rPr>
        <w:t xml:space="preserve"> </w:t>
      </w:r>
      <w:r>
        <w:rPr>
          <w:rFonts w:hint="eastAsia" w:ascii="黑体" w:hAnsi="黑体" w:eastAsia="黑体" w:cs="黑体"/>
          <w:b w:val="0"/>
          <w:bCs w:val="0"/>
          <w:color w:val="auto"/>
          <w:sz w:val="32"/>
          <w:szCs w:val="32"/>
          <w:u w:val="single"/>
          <w:lang w:val="en-US" w:eastAsia="zh-CN"/>
        </w:rPr>
        <w:t xml:space="preserve">   </w:t>
      </w:r>
      <w:r>
        <w:rPr>
          <w:rFonts w:hint="eastAsia" w:ascii="黑体" w:hAnsi="黑体" w:eastAsia="黑体" w:cs="黑体"/>
          <w:b w:val="0"/>
          <w:bCs w:val="0"/>
          <w:color w:val="auto"/>
          <w:sz w:val="32"/>
          <w:szCs w:val="32"/>
          <w:u w:val="single"/>
        </w:rPr>
        <w:t>202</w:t>
      </w:r>
      <w:r>
        <w:rPr>
          <w:rFonts w:hint="eastAsia" w:ascii="黑体" w:hAnsi="黑体" w:eastAsia="黑体" w:cs="黑体"/>
          <w:b w:val="0"/>
          <w:bCs w:val="0"/>
          <w:color w:val="auto"/>
          <w:sz w:val="32"/>
          <w:szCs w:val="32"/>
          <w:u w:val="single"/>
          <w:lang w:val="en-US" w:eastAsia="zh-CN"/>
        </w:rPr>
        <w:t>5</w:t>
      </w:r>
      <w:r>
        <w:rPr>
          <w:rFonts w:hint="eastAsia" w:ascii="黑体" w:hAnsi="黑体" w:eastAsia="黑体" w:cs="黑体"/>
          <w:b w:val="0"/>
          <w:bCs w:val="0"/>
          <w:color w:val="auto"/>
          <w:sz w:val="32"/>
          <w:szCs w:val="32"/>
          <w:u w:val="single"/>
        </w:rPr>
        <w:t>年</w:t>
      </w:r>
      <w:r>
        <w:rPr>
          <w:rFonts w:hint="eastAsia" w:ascii="黑体" w:hAnsi="黑体" w:eastAsia="黑体" w:cs="黑体"/>
          <w:b w:val="0"/>
          <w:bCs w:val="0"/>
          <w:color w:val="auto"/>
          <w:sz w:val="32"/>
          <w:szCs w:val="32"/>
          <w:u w:val="single"/>
          <w:lang w:val="en-US" w:eastAsia="zh-CN"/>
        </w:rPr>
        <w:t xml:space="preserve">8月1日      </w:t>
      </w:r>
    </w:p>
    <w:p w14:paraId="514798A4">
      <w:pPr>
        <w:bidi w:val="0"/>
        <w:ind w:firstLine="1280" w:firstLineChars="400"/>
        <w:rPr>
          <w:rFonts w:hint="eastAsia" w:ascii="黑体" w:hAnsi="黑体" w:eastAsia="黑体" w:cs="黑体"/>
          <w:b w:val="0"/>
          <w:bCs w:val="0"/>
          <w:color w:val="auto"/>
          <w:sz w:val="32"/>
          <w:szCs w:val="32"/>
          <w:u w:val="single"/>
          <w:lang w:val="en-US" w:eastAsia="zh-CN"/>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4FA09ED5">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p w14:paraId="6F0C821E">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sdt>
      <w:sdtPr>
        <w:rPr>
          <w:rFonts w:hint="eastAsia" w:ascii="黑体" w:hAnsi="黑体" w:eastAsia="黑体" w:cs="黑体"/>
          <w:color w:val="auto"/>
          <w:kern w:val="2"/>
          <w:sz w:val="44"/>
          <w:szCs w:val="44"/>
          <w:lang w:val="en-US" w:eastAsia="zh-CN" w:bidi="ar-SA"/>
        </w:rPr>
        <w:id w:val="147475105"/>
        <w15:color w:val="DBDBDB"/>
        <w:docPartObj>
          <w:docPartGallery w:val="Table of Contents"/>
          <w:docPartUnique/>
        </w:docPartObj>
      </w:sdtPr>
      <w:sdtEndPr>
        <w:rPr>
          <w:rFonts w:hint="eastAsia" w:ascii="黑体" w:hAnsi="黑体" w:eastAsia="黑体" w:cs="黑体"/>
          <w:b w:val="0"/>
          <w:bCs w:val="0"/>
          <w:i w:val="0"/>
          <w:iCs w:val="0"/>
          <w:color w:val="auto"/>
          <w:kern w:val="2"/>
          <w:sz w:val="32"/>
          <w:szCs w:val="32"/>
          <w:lang w:val="en-US" w:eastAsia="zh-CN" w:bidi="ar-SA"/>
        </w:rPr>
      </w:sdtEndPr>
      <w:sdtContent>
        <w:p w14:paraId="064AF5D1">
          <w:pPr>
            <w:pStyle w:val="58"/>
            <w:keepNext w:val="0"/>
            <w:keepLines w:val="0"/>
            <w:pageBreakBefore w:val="0"/>
            <w:widowControl w:val="0"/>
            <w:tabs>
              <w:tab w:val="center" w:pos="4880"/>
              <w:tab w:val="left" w:pos="6123"/>
            </w:tabs>
            <w:kinsoku/>
            <w:wordWrap w:val="0"/>
            <w:overflowPunct w:val="0"/>
            <w:topLinePunct w:val="0"/>
            <w:autoSpaceDE/>
            <w:autoSpaceDN/>
            <w:bidi w:val="0"/>
            <w:adjustRightInd/>
            <w:snapToGrid/>
            <w:spacing w:before="313" w:beforeLines="100" w:after="313" w:afterLines="100" w:line="480" w:lineRule="auto"/>
            <w:ind w:left="0" w:leftChars="0"/>
            <w:jc w:val="center"/>
            <w:textAlignment w:val="auto"/>
            <w:rPr>
              <w:rFonts w:hint="eastAsia" w:ascii="黑体" w:hAnsi="黑体" w:eastAsia="黑体" w:cs="黑体"/>
              <w:color w:val="auto"/>
              <w:sz w:val="44"/>
              <w:szCs w:val="44"/>
            </w:rPr>
          </w:pPr>
          <w:bookmarkStart w:id="6" w:name="_Hlk81810315"/>
          <w:bookmarkStart w:id="7" w:name="_Toc5819"/>
          <w:r>
            <w:rPr>
              <w:rFonts w:hint="eastAsia" w:ascii="黑体" w:hAnsi="黑体" w:eastAsia="黑体" w:cs="黑体"/>
              <w:b w:val="0"/>
              <w:color w:val="auto"/>
              <w:kern w:val="2"/>
              <w:sz w:val="44"/>
              <w:szCs w:val="44"/>
              <w:lang w:val="en-US" w:eastAsia="zh-CN" w:bidi="ar-SA"/>
            </w:rPr>
            <w:t>目  录</w:t>
          </w:r>
        </w:p>
        <w:p w14:paraId="29FD303D">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color w:val="auto"/>
              <w:sz w:val="32"/>
              <w:szCs w:val="32"/>
              <w:lang w:val="en-US" w:eastAsia="zh-CN"/>
            </w:rPr>
            <w:instrText xml:space="preserve">TOC \o "1-1" \h \u </w:instrText>
          </w:r>
          <w:r>
            <w:rPr>
              <w:rFonts w:hint="eastAsia" w:ascii="黑体" w:hAnsi="黑体" w:eastAsia="黑体" w:cs="黑体"/>
              <w:b w:val="0"/>
              <w:bCs w:val="0"/>
              <w:i w:val="0"/>
              <w:iCs w:val="0"/>
              <w:color w:val="auto"/>
              <w:sz w:val="32"/>
              <w:szCs w:val="32"/>
              <w:lang w:val="en-US" w:eastAsia="zh-CN"/>
            </w:rPr>
            <w:fldChar w:fldCharType="separate"/>
          </w:r>
        </w:p>
        <w:p w14:paraId="269F6D76">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_Toc29966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第一章 采购公告</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_Toc29966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142AFAAC">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_Toc31223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第二章 参选须知</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_Toc31223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- 7 -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36F35E29">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_Toc20971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第三章 评审办法</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_Toc20971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- 13 -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4A46355E">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_Toc3953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第四章 服务合同文本</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_Toc3953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- 19 -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4DD86D56">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_Toc23147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第五章 参选文件格式</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_Toc23147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- 27 -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2CBDA53A">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sz w:val="32"/>
              <w:szCs w:val="32"/>
              <w:lang w:val="en-US" w:eastAsia="zh-CN"/>
            </w:rPr>
          </w:pPr>
          <w:r>
            <w:rPr>
              <w:rFonts w:hint="eastAsia" w:ascii="黑体" w:hAnsi="黑体" w:eastAsia="黑体" w:cs="黑体"/>
              <w:b w:val="0"/>
              <w:bCs w:val="0"/>
              <w:i w:val="0"/>
              <w:iCs w:val="0"/>
              <w:color w:val="auto"/>
              <w:sz w:val="32"/>
              <w:szCs w:val="32"/>
              <w:lang w:val="en-US" w:eastAsia="zh-CN"/>
            </w:rPr>
            <w:fldChar w:fldCharType="end"/>
          </w:r>
        </w:p>
      </w:sdtContent>
    </w:sdt>
    <w:p w14:paraId="1DABDD62">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sz w:val="32"/>
          <w:szCs w:val="32"/>
          <w:lang w:val="en-US" w:eastAsia="zh-CN"/>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095D0EDB">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eastAsia" w:ascii="黑体" w:hAnsi="黑体" w:eastAsia="黑体" w:cs="黑体"/>
          <w:b w:val="0"/>
          <w:bCs w:val="0"/>
          <w:color w:val="auto"/>
          <w:lang w:val="en-US" w:eastAsia="zh-CN"/>
        </w:rPr>
      </w:pPr>
      <w:bookmarkStart w:id="8" w:name="_Toc29966"/>
      <w:r>
        <w:rPr>
          <w:rFonts w:hint="eastAsia" w:ascii="黑体" w:hAnsi="黑体" w:eastAsia="黑体" w:cs="黑体"/>
          <w:b w:val="0"/>
          <w:bCs w:val="0"/>
          <w:color w:val="auto"/>
          <w:lang w:val="en-US" w:eastAsia="zh-CN"/>
        </w:rPr>
        <w:t>第一章 采购公告</w:t>
      </w:r>
      <w:bookmarkEnd w:id="8"/>
    </w:p>
    <w:p w14:paraId="47106A32">
      <w:pPr>
        <w:keepNext w:val="0"/>
        <w:keepLines w:val="0"/>
        <w:pageBreakBefore w:val="0"/>
        <w:widowControl w:val="0"/>
        <w:kinsoku/>
        <w:wordWrap w:val="0"/>
        <w:overflowPunct w:val="0"/>
        <w:topLinePunct w:val="0"/>
        <w:autoSpaceDE/>
        <w:autoSpaceDN/>
        <w:bidi w:val="0"/>
        <w:adjustRightInd/>
        <w:snapToGrid/>
        <w:spacing w:line="560" w:lineRule="exact"/>
        <w:ind w:firstLine="0" w:firstLineChars="0"/>
        <w:jc w:val="both"/>
        <w:textAlignment w:val="auto"/>
        <w:rPr>
          <w:rFonts w:hint="default" w:ascii="仿宋_GB2312" w:hAnsi="仿宋_GB2312" w:eastAsia="仿宋_GB2312" w:cs="仿宋_GB2312"/>
          <w:color w:val="auto"/>
          <w:sz w:val="32"/>
          <w:szCs w:val="32"/>
          <w:lang w:val="en-US" w:eastAsia="zh-CN"/>
        </w:rPr>
      </w:pPr>
    </w:p>
    <w:p w14:paraId="333F78FB">
      <w:pPr>
        <w:keepNext w:val="0"/>
        <w:keepLines w:val="0"/>
        <w:pageBreakBefore w:val="0"/>
        <w:widowControl/>
        <w:kinsoku/>
        <w:wordWrap w:val="0"/>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海南联合资产管理有限公司</w:t>
      </w:r>
    </w:p>
    <w:p w14:paraId="1E3B17E9">
      <w:pPr>
        <w:keepNext w:val="0"/>
        <w:keepLines w:val="0"/>
        <w:pageBreakBefore w:val="0"/>
        <w:widowControl/>
        <w:kinsoku/>
        <w:wordWrap w:val="0"/>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公开比选组建法律服务机构库项目</w:t>
      </w:r>
      <w:r>
        <w:rPr>
          <w:rFonts w:hint="eastAsia" w:ascii="方正小标宋简体" w:hAnsi="方正小标宋简体" w:eastAsia="方正小标宋简体" w:cs="方正小标宋简体"/>
          <w:color w:val="auto"/>
          <w:sz w:val="44"/>
          <w:szCs w:val="44"/>
        </w:rPr>
        <w:t>公告</w:t>
      </w:r>
    </w:p>
    <w:p w14:paraId="45101D7F">
      <w:pPr>
        <w:keepNext w:val="0"/>
        <w:keepLines w:val="0"/>
        <w:pageBreakBefore w:val="0"/>
        <w:widowControl/>
        <w:kinsoku/>
        <w:wordWrap w:val="0"/>
        <w:overflowPunct w:val="0"/>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14:paraId="27C0962C">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rPr>
        <w:t>推进法治国企和廉洁国企建设，结合海南联合资产管理有限公司</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以下简称“公司”</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实际</w:t>
      </w:r>
      <w:r>
        <w:rPr>
          <w:rFonts w:hint="eastAsia" w:ascii="仿宋_GB2312" w:hAnsi="仿宋_GB2312" w:eastAsia="仿宋_GB2312" w:cs="仿宋_GB2312"/>
          <w:color w:val="auto"/>
          <w:sz w:val="32"/>
          <w:szCs w:val="32"/>
          <w:lang w:val="en-US" w:eastAsia="zh-CN"/>
        </w:rPr>
        <w:t>情况</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节约服务成本，规范建立</w:t>
      </w:r>
      <w:r>
        <w:rPr>
          <w:rFonts w:hint="eastAsia" w:ascii="仿宋_GB2312" w:hAnsi="仿宋_GB2312" w:eastAsia="仿宋_GB2312" w:cs="仿宋_GB2312"/>
          <w:color w:val="auto"/>
          <w:sz w:val="32"/>
          <w:szCs w:val="32"/>
        </w:rPr>
        <w:t>省属企业</w:t>
      </w:r>
      <w:r>
        <w:rPr>
          <w:rFonts w:hint="eastAsia" w:ascii="仿宋_GB2312" w:hAnsi="仿宋_GB2312" w:eastAsia="仿宋_GB2312" w:cs="仿宋_GB2312"/>
          <w:color w:val="auto"/>
          <w:sz w:val="32"/>
          <w:szCs w:val="32"/>
          <w:lang w:val="en-US" w:eastAsia="zh-CN"/>
        </w:rPr>
        <w:t>备选</w:t>
      </w:r>
      <w:r>
        <w:rPr>
          <w:rFonts w:hint="eastAsia" w:ascii="仿宋_GB2312" w:hAnsi="仿宋_GB2312" w:eastAsia="仿宋_GB2312" w:cs="仿宋_GB2312"/>
          <w:color w:val="auto"/>
          <w:sz w:val="32"/>
          <w:szCs w:val="32"/>
        </w:rPr>
        <w:t>法律服务机构库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根据</w:t>
      </w:r>
      <w:r>
        <w:rPr>
          <w:rFonts w:hint="eastAsia" w:ascii="仿宋_GB2312" w:hAnsi="仿宋_GB2312" w:eastAsia="仿宋_GB2312" w:cs="仿宋_GB2312"/>
          <w:color w:val="auto"/>
          <w:sz w:val="32"/>
          <w:szCs w:val="32"/>
          <w:highlight w:val="none"/>
        </w:rPr>
        <w:t>海南省国有资产监督管理委员会</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highlight w:val="none"/>
        </w:rPr>
        <w:t>关于进一步完善省属企业外聘法律顾问工作机制的指导意见》</w:t>
      </w:r>
      <w:r>
        <w:rPr>
          <w:rFonts w:hint="eastAsia" w:ascii="仿宋_GB2312" w:hAnsi="仿宋_GB2312" w:eastAsia="仿宋_GB2312" w:cs="仿宋_GB2312"/>
          <w:color w:val="auto"/>
          <w:sz w:val="32"/>
          <w:szCs w:val="32"/>
          <w:highlight w:val="none"/>
          <w:lang w:eastAsia="zh-CN"/>
        </w:rPr>
        <w:t>（琼国资法〔2019〕6号）</w:t>
      </w:r>
      <w:r>
        <w:rPr>
          <w:rFonts w:hint="eastAsia" w:ascii="仿宋_GB2312" w:hAnsi="仿宋_GB2312" w:eastAsia="仿宋_GB2312" w:cs="仿宋_GB2312"/>
          <w:color w:val="auto"/>
          <w:sz w:val="32"/>
          <w:szCs w:val="32"/>
        </w:rPr>
        <w:t>文件精神，</w:t>
      </w:r>
      <w:r>
        <w:rPr>
          <w:rFonts w:hint="eastAsia" w:ascii="仿宋_GB2312" w:hAnsi="仿宋_GB2312" w:eastAsia="仿宋_GB2312" w:cs="仿宋_GB2312"/>
          <w:color w:val="auto"/>
          <w:sz w:val="32"/>
          <w:szCs w:val="32"/>
          <w:lang w:val="en-US" w:eastAsia="zh-CN"/>
        </w:rPr>
        <w:t>结合</w:t>
      </w:r>
      <w:r>
        <w:rPr>
          <w:rFonts w:hint="eastAsia" w:ascii="仿宋_GB2312" w:hAnsi="仿宋_GB2312" w:eastAsia="仿宋_GB2312" w:cs="仿宋_GB2312"/>
          <w:color w:val="auto"/>
          <w:sz w:val="32"/>
          <w:szCs w:val="32"/>
          <w:highlight w:val="none"/>
          <w:lang w:val="en-US" w:eastAsia="zh-CN"/>
        </w:rPr>
        <w:t>《海南联合资产管理有限公司外聘律师事务所管理办法》（琼联合发〔2025〕41号）等有关规定，</w:t>
      </w:r>
      <w:r>
        <w:rPr>
          <w:rFonts w:hint="eastAsia" w:ascii="仿宋_GB2312" w:hAnsi="仿宋_GB2312" w:eastAsia="仿宋_GB2312" w:cs="仿宋_GB2312"/>
          <w:color w:val="auto"/>
          <w:sz w:val="32"/>
          <w:szCs w:val="32"/>
        </w:rPr>
        <w:t>拟</w:t>
      </w:r>
      <w:r>
        <w:rPr>
          <w:rFonts w:hint="eastAsia" w:ascii="仿宋_GB2312" w:hAnsi="仿宋_GB2312" w:eastAsia="仿宋_GB2312" w:cs="仿宋_GB2312"/>
          <w:color w:val="auto"/>
          <w:sz w:val="32"/>
          <w:szCs w:val="32"/>
          <w:lang w:val="en-US" w:eastAsia="zh-CN"/>
        </w:rPr>
        <w:t>通过公开比选方式遴选律师事务所组建法律服务机构库。</w:t>
      </w:r>
    </w:p>
    <w:p w14:paraId="5C92FC4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color w:val="auto"/>
          <w:sz w:val="32"/>
          <w:szCs w:val="32"/>
          <w:lang w:val="en-US" w:eastAsia="zh-CN"/>
        </w:rPr>
        <w:t>诚挚邀请</w:t>
      </w:r>
      <w:r>
        <w:rPr>
          <w:rFonts w:hint="eastAsia" w:ascii="仿宋_GB2312" w:hAnsi="仿宋_GB2312" w:eastAsia="仿宋_GB2312" w:cs="仿宋_GB2312"/>
          <w:color w:val="auto"/>
          <w:sz w:val="32"/>
          <w:szCs w:val="32"/>
        </w:rPr>
        <w:t>符合资格条件的</w:t>
      </w:r>
      <w:r>
        <w:rPr>
          <w:rFonts w:hint="eastAsia" w:ascii="仿宋_GB2312" w:hAnsi="仿宋_GB2312" w:eastAsia="仿宋_GB2312" w:cs="仿宋_GB2312"/>
          <w:color w:val="auto"/>
          <w:sz w:val="32"/>
          <w:szCs w:val="32"/>
          <w:lang w:val="en-US" w:eastAsia="zh-CN"/>
        </w:rPr>
        <w:t>潜在参选人参加比选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现</w:t>
      </w:r>
      <w:r>
        <w:rPr>
          <w:rFonts w:hint="eastAsia" w:ascii="仿宋_GB2312" w:hAnsi="仿宋_GB2312" w:eastAsia="仿宋_GB2312" w:cs="仿宋_GB2312"/>
          <w:color w:val="auto"/>
          <w:sz w:val="32"/>
          <w:szCs w:val="32"/>
        </w:rPr>
        <w:t>将有关事项公告如下</w:t>
      </w:r>
      <w:r>
        <w:rPr>
          <w:rFonts w:hint="eastAsia" w:ascii="仿宋_GB2312" w:hAnsi="仿宋_GB2312" w:eastAsia="仿宋_GB2312" w:cs="仿宋_GB2312"/>
          <w:color w:val="auto"/>
          <w:sz w:val="32"/>
          <w:szCs w:val="32"/>
          <w:lang w:eastAsia="zh-CN"/>
        </w:rPr>
        <w:t>：</w:t>
      </w:r>
    </w:p>
    <w:p w14:paraId="3309E2D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一、项目</w:t>
      </w:r>
      <w:r>
        <w:rPr>
          <w:rFonts w:hint="eastAsia" w:ascii="黑体" w:hAnsi="黑体" w:eastAsia="黑体" w:cs="黑体"/>
          <w:color w:val="auto"/>
          <w:sz w:val="32"/>
          <w:szCs w:val="32"/>
          <w:lang w:val="en-US" w:eastAsia="zh-CN"/>
        </w:rPr>
        <w:t>情况</w:t>
      </w:r>
    </w:p>
    <w:p w14:paraId="388B5EEF">
      <w:pPr>
        <w:keepNext w:val="0"/>
        <w:keepLines w:val="0"/>
        <w:pageBreakBefore w:val="0"/>
        <w:widowControl/>
        <w:numPr>
          <w:ilvl w:val="0"/>
          <w:numId w:val="1"/>
        </w:numPr>
        <w:kinsoku/>
        <w:wordWrap w:val="0"/>
        <w:overflowPunct w:val="0"/>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项目名称：海南联合资产管理有限公司公开比选组建</w:t>
      </w:r>
      <w:r>
        <w:rPr>
          <w:rFonts w:hint="default" w:ascii="仿宋_GB2312" w:hAnsi="仿宋_GB2312" w:eastAsia="仿宋_GB2312" w:cs="仿宋_GB2312"/>
          <w:color w:val="auto"/>
          <w:sz w:val="32"/>
          <w:szCs w:val="32"/>
          <w:lang w:val="en-US" w:eastAsia="zh-CN"/>
        </w:rPr>
        <w:t>法律服务机构库</w:t>
      </w:r>
      <w:r>
        <w:rPr>
          <w:rFonts w:hint="eastAsia" w:ascii="仿宋_GB2312" w:hAnsi="仿宋_GB2312" w:eastAsia="仿宋_GB2312" w:cs="仿宋_GB2312"/>
          <w:color w:val="auto"/>
          <w:sz w:val="32"/>
          <w:szCs w:val="32"/>
          <w:lang w:val="en-US" w:eastAsia="zh-CN"/>
        </w:rPr>
        <w:t>项目。</w:t>
      </w:r>
    </w:p>
    <w:p w14:paraId="36B26B8A">
      <w:pPr>
        <w:keepNext w:val="0"/>
        <w:keepLines w:val="0"/>
        <w:pageBreakBefore w:val="0"/>
        <w:widowControl/>
        <w:numPr>
          <w:ilvl w:val="0"/>
          <w:numId w:val="1"/>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项目概况：公开比选律师事务所组建法律服务机构库，入库律师事务所</w:t>
      </w:r>
      <w:r>
        <w:rPr>
          <w:rFonts w:hint="eastAsia" w:ascii="仿宋_GB2312" w:hAnsi="仿宋_GB2312" w:eastAsia="仿宋_GB2312" w:cs="仿宋_GB2312"/>
          <w:color w:val="auto"/>
          <w:sz w:val="32"/>
          <w:szCs w:val="32"/>
          <w:lang w:val="en-US" w:eastAsia="zh-CN"/>
        </w:rPr>
        <w:t>可以承办公司及所属企业重大非诉、诉讼、仲裁等法律纠纷案件（专项法律事务）等。</w:t>
      </w:r>
    </w:p>
    <w:p w14:paraId="79A726EC">
      <w:pPr>
        <w:keepNext w:val="0"/>
        <w:keepLines w:val="0"/>
        <w:pageBreakBefore w:val="0"/>
        <w:widowControl/>
        <w:numPr>
          <w:ilvl w:val="0"/>
          <w:numId w:val="1"/>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服务期限：不超过</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年，自入库通知书签发之日起算</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kern w:val="2"/>
          <w:sz w:val="32"/>
          <w:szCs w:val="32"/>
          <w:lang w:val="en-US" w:eastAsia="zh-CN" w:bidi="ar-SA"/>
        </w:rPr>
        <w:t>到期后</w:t>
      </w:r>
      <w:r>
        <w:rPr>
          <w:rFonts w:hint="eastAsia" w:ascii="仿宋_GB2312" w:hAnsi="仿宋_GB2312" w:eastAsia="仿宋_GB2312" w:cs="仿宋_GB2312"/>
          <w:color w:val="auto"/>
          <w:kern w:val="2"/>
          <w:sz w:val="32"/>
          <w:szCs w:val="32"/>
          <w:lang w:val="en-US" w:eastAsia="zh-CN" w:bidi="ar-SA"/>
        </w:rPr>
        <w:t>至采购人</w:t>
      </w:r>
      <w:r>
        <w:rPr>
          <w:rFonts w:hint="default" w:ascii="仿宋_GB2312" w:hAnsi="仿宋_GB2312" w:eastAsia="仿宋_GB2312" w:cs="仿宋_GB2312"/>
          <w:color w:val="auto"/>
          <w:kern w:val="2"/>
          <w:sz w:val="32"/>
          <w:szCs w:val="32"/>
          <w:lang w:val="en-US" w:eastAsia="zh-CN" w:bidi="ar-SA"/>
        </w:rPr>
        <w:t>建立新的法律服务机构库之前，</w:t>
      </w:r>
      <w:r>
        <w:rPr>
          <w:rFonts w:hint="eastAsia" w:ascii="仿宋_GB2312" w:hAnsi="仿宋_GB2312" w:eastAsia="仿宋_GB2312" w:cs="仿宋_GB2312"/>
          <w:color w:val="auto"/>
          <w:kern w:val="2"/>
          <w:sz w:val="32"/>
          <w:szCs w:val="32"/>
          <w:lang w:val="en-US" w:eastAsia="zh-CN" w:bidi="ar-SA"/>
        </w:rPr>
        <w:t>现有</w:t>
      </w:r>
      <w:r>
        <w:rPr>
          <w:rFonts w:hint="default" w:ascii="仿宋_GB2312" w:hAnsi="仿宋_GB2312" w:eastAsia="仿宋_GB2312" w:cs="仿宋_GB2312"/>
          <w:color w:val="auto"/>
          <w:kern w:val="2"/>
          <w:sz w:val="32"/>
          <w:szCs w:val="32"/>
          <w:lang w:val="en-US" w:eastAsia="zh-CN" w:bidi="ar-SA"/>
        </w:rPr>
        <w:t>法律服务机构库继续使用（原则上不超过三个月）</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法律服务机构库实行动态</w:t>
      </w:r>
      <w:r>
        <w:rPr>
          <w:rFonts w:hint="eastAsia" w:ascii="仿宋_GB2312" w:hAnsi="仿宋_GB2312" w:eastAsia="仿宋_GB2312" w:cs="仿宋_GB2312"/>
          <w:color w:val="auto"/>
          <w:kern w:val="2"/>
          <w:sz w:val="32"/>
          <w:szCs w:val="32"/>
          <w:lang w:val="en-US" w:eastAsia="zh-CN" w:bidi="ar-SA"/>
        </w:rPr>
        <w:t>调整</w:t>
      </w:r>
      <w:r>
        <w:rPr>
          <w:rFonts w:hint="default" w:ascii="仿宋_GB2312" w:hAnsi="仿宋_GB2312" w:eastAsia="仿宋_GB2312" w:cs="仿宋_GB2312"/>
          <w:color w:val="auto"/>
          <w:kern w:val="2"/>
          <w:sz w:val="32"/>
          <w:szCs w:val="32"/>
          <w:lang w:val="en-US" w:eastAsia="zh-CN" w:bidi="ar-SA"/>
        </w:rPr>
        <w:t>机制</w:t>
      </w:r>
      <w:r>
        <w:rPr>
          <w:rFonts w:hint="eastAsia" w:ascii="仿宋_GB2312" w:hAnsi="仿宋_GB2312" w:eastAsia="仿宋_GB2312" w:cs="仿宋_GB2312"/>
          <w:color w:val="auto"/>
          <w:kern w:val="2"/>
          <w:sz w:val="32"/>
          <w:szCs w:val="32"/>
          <w:lang w:val="en-US" w:eastAsia="zh-CN" w:bidi="ar-SA"/>
        </w:rPr>
        <w:t>。</w:t>
      </w:r>
    </w:p>
    <w:p w14:paraId="72D61A65">
      <w:pPr>
        <w:keepNext w:val="0"/>
        <w:keepLines w:val="0"/>
        <w:pageBreakBefore w:val="0"/>
        <w:widowControl/>
        <w:numPr>
          <w:ilvl w:val="0"/>
          <w:numId w:val="1"/>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选聘数量：不超过20家律师事务所（不接受联合体参选）。</w:t>
      </w:r>
    </w:p>
    <w:p w14:paraId="12B80C3A">
      <w:pPr>
        <w:keepNext w:val="0"/>
        <w:keepLines w:val="0"/>
        <w:pageBreakBefore w:val="0"/>
        <w:widowControl/>
        <w:numPr>
          <w:ilvl w:val="0"/>
          <w:numId w:val="1"/>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服务内容：根据委托方具体项目需求而定，包括但不限于如下事项：</w:t>
      </w:r>
    </w:p>
    <w:p w14:paraId="588BA416">
      <w:pPr>
        <w:keepNext w:val="0"/>
        <w:keepLines w:val="0"/>
        <w:pageBreakBefore w:val="0"/>
        <w:widowControl/>
        <w:numPr>
          <w:ilvl w:val="0"/>
          <w:numId w:val="2"/>
        </w:numPr>
        <w:kinsoku/>
        <w:wordWrap w:val="0"/>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投资并购项目中，提供法律尽职调查、参与现场谈判、拟定交易文件、对专项法律问题出具法律意见等；</w:t>
      </w:r>
    </w:p>
    <w:p w14:paraId="388DF645">
      <w:pPr>
        <w:keepNext w:val="0"/>
        <w:keepLines w:val="0"/>
        <w:pageBreakBefore w:val="0"/>
        <w:widowControl/>
        <w:numPr>
          <w:ilvl w:val="0"/>
          <w:numId w:val="2"/>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争议纠纷案件中，代理承办相关案件，维护委托方的合法权益。</w:t>
      </w:r>
    </w:p>
    <w:p w14:paraId="0520206C">
      <w:pPr>
        <w:keepNext w:val="0"/>
        <w:keepLines w:val="0"/>
        <w:pageBreakBefore w:val="0"/>
        <w:widowControl/>
        <w:numPr>
          <w:ilvl w:val="0"/>
          <w:numId w:val="1"/>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服务费用：</w:t>
      </w:r>
      <w:r>
        <w:rPr>
          <w:rFonts w:hint="default" w:ascii="仿宋_GB2312" w:hAnsi="仿宋_GB2312" w:eastAsia="仿宋_GB2312" w:cs="仿宋_GB2312"/>
          <w:color w:val="auto"/>
          <w:sz w:val="32"/>
          <w:szCs w:val="32"/>
          <w:lang w:val="en-US" w:eastAsia="zh-CN"/>
        </w:rPr>
        <w:t>入库</w:t>
      </w:r>
      <w:r>
        <w:rPr>
          <w:rFonts w:hint="eastAsia" w:ascii="仿宋_GB2312" w:hAnsi="仿宋_GB2312" w:eastAsia="仿宋_GB2312" w:cs="仿宋_GB2312"/>
          <w:color w:val="auto"/>
          <w:sz w:val="32"/>
          <w:szCs w:val="32"/>
          <w:lang w:val="en-US" w:eastAsia="zh-CN"/>
        </w:rPr>
        <w:t>律师事务所具体承办公司及所属企业法律纠纷案件（专项法律事务），服务收费不超过依据《海南省律师协会 关于更正〈海南省律师服务收费指引〉的通知》琼律协通﹝2020﹞58号 第八条至第十二条标准，不超过依据《司法部 国家发展和改革委员会 国家市场监督管理总局 印发&lt;关于进一步规范律师服务收费的意见&gt;的通知》司发通﹝2021﹞87号 第三条第（六）项标准。</w:t>
      </w:r>
    </w:p>
    <w:p w14:paraId="59DDDF42">
      <w:pPr>
        <w:keepNext w:val="0"/>
        <w:keepLines w:val="0"/>
        <w:pageBreakBefore w:val="0"/>
        <w:widowControl/>
        <w:numPr>
          <w:ilvl w:val="0"/>
          <w:numId w:val="1"/>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比选要求：采用公开比选方式进行采购，分为资格审查、综合评审两部分。</w:t>
      </w:r>
    </w:p>
    <w:p w14:paraId="2E44205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lang w:val="en-US" w:eastAsia="zh-CN"/>
        </w:rPr>
        <w:t>资格审查条件</w:t>
      </w:r>
    </w:p>
    <w:p w14:paraId="1F7C2786">
      <w:pPr>
        <w:keepNext w:val="0"/>
        <w:keepLines w:val="0"/>
        <w:pageBreakBefore w:val="0"/>
        <w:widowControl/>
        <w:numPr>
          <w:ilvl w:val="0"/>
          <w:numId w:val="3"/>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须是在中华人民共和国境内注册、具有独立承担民事责任能力的律师事务所，须未被列入“失信被执行人名单”、“重大税收违法失信主体”、“政府采购严重违法失信行为记录名单”。[提供信用中国（https://www.creditchina.gov.cn/）、中国执行信息公开网（https://zxgk.court.gov.cn/）、中国政府采购网（http://www.ccgp.gov.cn/）查询时间、结果截图，并加盖公章]</w:t>
      </w:r>
    </w:p>
    <w:p w14:paraId="6407E80C">
      <w:pPr>
        <w:keepNext w:val="0"/>
        <w:keepLines w:val="0"/>
        <w:pageBreakBefore w:val="0"/>
        <w:widowControl/>
        <w:numPr>
          <w:ilvl w:val="0"/>
          <w:numId w:val="3"/>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须具有依法缴纳税收和社会保障资金的良好记录。[提供参选时最近3个月的单位缴纳税收、拟指派执业律师的社保记录凭证（单位职工参保花名册），并加盖公章；或依法不需要缴纳社保的，提供证明文件，并加盖公章]</w:t>
      </w:r>
    </w:p>
    <w:p w14:paraId="11F36F8F">
      <w:pPr>
        <w:keepNext w:val="0"/>
        <w:keepLines w:val="0"/>
        <w:pageBreakBefore w:val="0"/>
        <w:widowControl/>
        <w:numPr>
          <w:ilvl w:val="0"/>
          <w:numId w:val="3"/>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参选人（包含拟指派执业律师）参选时最近3年内在经营活动中没有重大违纪、违法记录。（提供声明函，格式自拟，并加盖公章）</w:t>
      </w:r>
    </w:p>
    <w:p w14:paraId="16FC2D03">
      <w:pPr>
        <w:keepNext w:val="0"/>
        <w:keepLines w:val="0"/>
        <w:pageBreakBefore w:val="0"/>
        <w:widowControl/>
        <w:numPr>
          <w:ilvl w:val="0"/>
          <w:numId w:val="3"/>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包含拟指派执业律师）参选时最近3年内未因自身的任何违约、违法及违反职业道德的行为而导致服务合同解除或败诉，没有被投诉，未受过司法行政部门的行政处罚或律师协会的行业处分记录。（提供声明函，格式自拟，并加盖公章）</w:t>
      </w:r>
    </w:p>
    <w:p w14:paraId="7F2C0372">
      <w:pPr>
        <w:keepNext w:val="0"/>
        <w:keepLines w:val="0"/>
        <w:pageBreakBefore w:val="0"/>
        <w:widowControl/>
        <w:numPr>
          <w:ilvl w:val="0"/>
          <w:numId w:val="3"/>
        </w:numPr>
        <w:kinsoku/>
        <w:wordWrap w:val="0"/>
        <w:overflowPunct w:val="0"/>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参选人具有良好的社会关系、资信实力、管理水平、商业信誉和健全的财务会计制度。（提供声明函，格式自拟，并加盖公章）</w:t>
      </w:r>
    </w:p>
    <w:p w14:paraId="3E09EDFE">
      <w:pPr>
        <w:keepNext w:val="0"/>
        <w:keepLines w:val="0"/>
        <w:pageBreakBefore w:val="0"/>
        <w:widowControl/>
        <w:numPr>
          <w:ilvl w:val="0"/>
          <w:numId w:val="3"/>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参选人参选时最近1年内不存在与公司存在利益冲突的情形（含诉讼、非诉讼、仲裁、投资并购等存在利益冲突的事项）。（提供声明函，格式自拟，并加盖公章）</w:t>
      </w:r>
    </w:p>
    <w:p w14:paraId="73E5793D">
      <w:pPr>
        <w:keepNext w:val="0"/>
        <w:keepLines w:val="0"/>
        <w:pageBreakBefore w:val="0"/>
        <w:widowControl/>
        <w:numPr>
          <w:ilvl w:val="0"/>
          <w:numId w:val="3"/>
        </w:numPr>
        <w:kinsoku/>
        <w:wordWrap w:val="0"/>
        <w:overflowPunct w:val="0"/>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参选人承诺</w:t>
      </w:r>
      <w:r>
        <w:rPr>
          <w:rFonts w:hint="eastAsia" w:ascii="仿宋_GB2312" w:hAnsi="仿宋_GB2312" w:eastAsia="仿宋_GB2312" w:cs="仿宋_GB2312"/>
          <w:color w:val="auto"/>
          <w:sz w:val="32"/>
          <w:szCs w:val="32"/>
          <w:lang w:val="en-US" w:eastAsia="zh-CN"/>
        </w:rPr>
        <w:t>入库</w:t>
      </w:r>
      <w:r>
        <w:rPr>
          <w:rFonts w:hint="default" w:ascii="仿宋_GB2312" w:hAnsi="仿宋_GB2312" w:eastAsia="仿宋_GB2312" w:cs="仿宋_GB2312"/>
          <w:color w:val="auto"/>
          <w:sz w:val="32"/>
          <w:szCs w:val="32"/>
          <w:lang w:val="en-US" w:eastAsia="zh-CN"/>
        </w:rPr>
        <w:t>提供法律服务过程中具备相应数量的服务团队人员：主办律师至少一名，协办律师至少两名</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团队律师合计不超过五名</w:t>
      </w:r>
      <w:r>
        <w:rPr>
          <w:rFonts w:hint="eastAsia" w:ascii="仿宋_GB2312" w:hAnsi="仿宋_GB2312" w:eastAsia="仿宋_GB2312" w:cs="仿宋_GB2312"/>
          <w:sz w:val="32"/>
          <w:szCs w:val="32"/>
          <w:lang w:eastAsia="zh-CN"/>
        </w:rPr>
        <w:t>。</w:t>
      </w:r>
    </w:p>
    <w:p w14:paraId="302A1D3D">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主办律师执业年限十年以上，具有丰富的执业经验、在相关专业领域具有较强的专业能力素养，已</w:t>
      </w:r>
      <w:r>
        <w:rPr>
          <w:rFonts w:hint="eastAsia" w:ascii="仿宋_GB2312" w:hAnsi="仿宋_GB2312" w:eastAsia="仿宋_GB2312" w:cs="仿宋_GB2312"/>
          <w:color w:val="auto"/>
          <w:sz w:val="32"/>
          <w:szCs w:val="32"/>
          <w:lang w:val="en-US" w:eastAsia="zh-CN"/>
        </w:rPr>
        <w:t>投保</w:t>
      </w:r>
      <w:r>
        <w:rPr>
          <w:rFonts w:hint="default" w:ascii="仿宋_GB2312" w:hAnsi="仿宋_GB2312" w:eastAsia="仿宋_GB2312" w:cs="仿宋_GB2312"/>
          <w:color w:val="auto"/>
          <w:sz w:val="32"/>
          <w:szCs w:val="32"/>
          <w:lang w:val="en-US" w:eastAsia="zh-CN"/>
        </w:rPr>
        <w:t>执业责任保险</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协办律师执业年限五年以上，具有丰富的执业经验、在相关专业领域具有较强的专业能力素养，已</w:t>
      </w:r>
      <w:r>
        <w:rPr>
          <w:rFonts w:hint="eastAsia" w:ascii="仿宋_GB2312" w:hAnsi="仿宋_GB2312" w:eastAsia="仿宋_GB2312" w:cs="仿宋_GB2312"/>
          <w:color w:val="auto"/>
          <w:sz w:val="32"/>
          <w:szCs w:val="32"/>
          <w:lang w:val="en-US" w:eastAsia="zh-CN"/>
        </w:rPr>
        <w:t>投保</w:t>
      </w:r>
      <w:r>
        <w:rPr>
          <w:rFonts w:hint="default" w:ascii="仿宋_GB2312" w:hAnsi="仿宋_GB2312" w:eastAsia="仿宋_GB2312" w:cs="仿宋_GB2312"/>
          <w:color w:val="auto"/>
          <w:sz w:val="32"/>
          <w:szCs w:val="32"/>
          <w:lang w:val="en-US" w:eastAsia="zh-CN"/>
        </w:rPr>
        <w:t>执业责任保险。</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bidi="ar-SA"/>
        </w:rPr>
        <w:t>提供</w:t>
      </w:r>
      <w:r>
        <w:rPr>
          <w:rFonts w:hint="eastAsia" w:ascii="仿宋_GB2312" w:hAnsi="仿宋_GB2312" w:eastAsia="仿宋_GB2312" w:cs="仿宋_GB2312"/>
          <w:color w:val="auto"/>
          <w:sz w:val="32"/>
          <w:szCs w:val="32"/>
          <w:lang w:val="en-US" w:eastAsia="zh-CN" w:bidi="ar-SA"/>
        </w:rPr>
        <w:t>服务团队人员名单、执业证书、投保</w:t>
      </w:r>
      <w:r>
        <w:rPr>
          <w:rFonts w:hint="eastAsia" w:ascii="仿宋_GB2312" w:hAnsi="仿宋_GB2312" w:eastAsia="仿宋_GB2312" w:cs="仿宋_GB2312"/>
          <w:color w:val="auto"/>
          <w:sz w:val="32"/>
          <w:szCs w:val="32"/>
          <w:lang w:eastAsia="zh-CN" w:bidi="ar-SA"/>
        </w:rPr>
        <w:t>执业责任保险</w:t>
      </w:r>
      <w:r>
        <w:rPr>
          <w:rFonts w:hint="eastAsia" w:ascii="仿宋_GB2312" w:hAnsi="仿宋_GB2312" w:eastAsia="仿宋_GB2312" w:cs="仿宋_GB2312"/>
          <w:color w:val="auto"/>
          <w:sz w:val="32"/>
          <w:szCs w:val="32"/>
          <w:lang w:val="en-US" w:eastAsia="zh-CN" w:bidi="ar-SA"/>
        </w:rPr>
        <w:t>记录</w:t>
      </w:r>
      <w:r>
        <w:rPr>
          <w:rFonts w:hint="eastAsia" w:ascii="仿宋_GB2312" w:hAnsi="仿宋_GB2312" w:eastAsia="仿宋_GB2312" w:cs="仿宋_GB2312"/>
          <w:color w:val="auto"/>
          <w:sz w:val="32"/>
          <w:szCs w:val="32"/>
          <w:lang w:eastAsia="zh-CN" w:bidi="ar-SA"/>
        </w:rPr>
        <w:t>、</w:t>
      </w:r>
      <w:r>
        <w:rPr>
          <w:rFonts w:hint="eastAsia" w:ascii="仿宋_GB2312" w:hAnsi="仿宋_GB2312" w:eastAsia="仿宋_GB2312" w:cs="仿宋_GB2312"/>
          <w:color w:val="auto"/>
          <w:sz w:val="32"/>
          <w:szCs w:val="32"/>
          <w:lang w:val="en-US" w:eastAsia="zh-CN" w:bidi="ar-SA"/>
        </w:rPr>
        <w:t>全国律师执业诚信信息公示平台（https://credit.acla.org.cn/）查询结果截图</w:t>
      </w:r>
      <w:r>
        <w:rPr>
          <w:rFonts w:hint="eastAsia" w:ascii="仿宋_GB2312" w:hAnsi="仿宋_GB2312" w:eastAsia="仿宋_GB2312" w:cs="仿宋_GB2312"/>
          <w:color w:val="auto"/>
          <w:sz w:val="32"/>
          <w:szCs w:val="32"/>
          <w:lang w:eastAsia="zh-CN" w:bidi="ar-SA"/>
        </w:rPr>
        <w:t>，并加盖公章</w:t>
      </w:r>
      <w:r>
        <w:rPr>
          <w:rFonts w:hint="eastAsia" w:ascii="仿宋_GB2312" w:hAnsi="仿宋_GB2312" w:eastAsia="仿宋_GB2312" w:cs="仿宋_GB2312"/>
          <w:color w:val="auto"/>
          <w:sz w:val="32"/>
          <w:szCs w:val="32"/>
          <w:lang w:val="en-US" w:eastAsia="zh-CN"/>
        </w:rPr>
        <w:t>]</w:t>
      </w:r>
    </w:p>
    <w:p w14:paraId="61610175">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lang w:val="en-US" w:eastAsia="zh-CN"/>
        </w:rPr>
        <w:t>比选评审要求</w:t>
      </w:r>
    </w:p>
    <w:p w14:paraId="4AB3E70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（一）资格审查</w:t>
      </w:r>
    </w:p>
    <w:p w14:paraId="25E2F0AF">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本项目评审小组根据比选文件要求，对参选人的资格条件进行审查，只有通过资格审查才能进入综合评审。</w:t>
      </w:r>
    </w:p>
    <w:p w14:paraId="3F5CFF48">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（二）综合评审</w:t>
      </w:r>
    </w:p>
    <w:p w14:paraId="3ACADA64">
      <w:pPr>
        <w:keepNext w:val="0"/>
        <w:keepLines w:val="0"/>
        <w:pageBreakBefore w:val="0"/>
        <w:widowControl/>
        <w:numPr>
          <w:ilvl w:val="0"/>
          <w:numId w:val="4"/>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本项目评审采用综合评分法（满分100分），评审小组根据比选文件量化因素、分值要求，对参选文件的内容进行综合评价并计算出综合得分。</w:t>
      </w:r>
    </w:p>
    <w:p w14:paraId="5F923EC2">
      <w:pPr>
        <w:keepNext w:val="0"/>
        <w:keepLines w:val="0"/>
        <w:pageBreakBefore w:val="0"/>
        <w:widowControl/>
        <w:numPr>
          <w:ilvl w:val="0"/>
          <w:numId w:val="4"/>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本项目评审小组根据综合得分，由高到低的顺序推荐前20名</w:t>
      </w:r>
      <w:r>
        <w:rPr>
          <w:rFonts w:hint="default" w:ascii="仿宋_GB2312" w:hAnsi="仿宋_GB2312" w:eastAsia="仿宋_GB2312" w:cs="仿宋_GB2312"/>
          <w:color w:val="auto"/>
          <w:sz w:val="32"/>
          <w:szCs w:val="32"/>
          <w:lang w:val="en-US" w:eastAsia="zh-CN"/>
        </w:rPr>
        <w:t>入库</w:t>
      </w:r>
      <w:r>
        <w:rPr>
          <w:rFonts w:hint="eastAsia" w:ascii="仿宋_GB2312" w:hAnsi="仿宋_GB2312" w:eastAsia="仿宋_GB2312" w:cs="仿宋_GB2312"/>
          <w:color w:val="auto"/>
          <w:sz w:val="32"/>
          <w:szCs w:val="32"/>
          <w:lang w:val="en-US" w:eastAsia="zh-CN"/>
        </w:rPr>
        <w:t>候选律师事务所，原则上</w:t>
      </w:r>
      <w:r>
        <w:rPr>
          <w:rFonts w:hint="default" w:ascii="仿宋_GB2312" w:hAnsi="仿宋_GB2312" w:eastAsia="仿宋_GB2312" w:cs="仿宋_GB2312"/>
          <w:color w:val="auto"/>
          <w:sz w:val="32"/>
          <w:szCs w:val="32"/>
          <w:lang w:val="en-US" w:eastAsia="zh-CN"/>
        </w:rPr>
        <w:t>入库</w:t>
      </w:r>
      <w:r>
        <w:rPr>
          <w:rFonts w:hint="eastAsia" w:ascii="仿宋_GB2312" w:hAnsi="仿宋_GB2312" w:eastAsia="仿宋_GB2312" w:cs="仿宋_GB2312"/>
          <w:color w:val="auto"/>
          <w:sz w:val="32"/>
          <w:szCs w:val="32"/>
          <w:lang w:val="en-US" w:eastAsia="zh-CN"/>
        </w:rPr>
        <w:t>候选律师事务所综合评分不得低于60分；综合得分相同的，由评审小组现场抽签确定排名。</w:t>
      </w:r>
    </w:p>
    <w:p w14:paraId="48AA3F49">
      <w:pPr>
        <w:keepNext w:val="0"/>
        <w:keepLines w:val="0"/>
        <w:pageBreakBefore w:val="0"/>
        <w:widowControl/>
        <w:numPr>
          <w:ilvl w:val="0"/>
          <w:numId w:val="4"/>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若排名在前的</w:t>
      </w:r>
      <w:r>
        <w:rPr>
          <w:rFonts w:hint="default" w:ascii="仿宋_GB2312" w:hAnsi="仿宋_GB2312" w:eastAsia="仿宋_GB2312" w:cs="仿宋_GB2312"/>
          <w:color w:val="auto"/>
          <w:sz w:val="32"/>
          <w:szCs w:val="32"/>
          <w:lang w:val="en-US" w:eastAsia="zh-CN"/>
        </w:rPr>
        <w:t>入库</w:t>
      </w:r>
      <w:r>
        <w:rPr>
          <w:rFonts w:hint="eastAsia" w:ascii="仿宋_GB2312" w:hAnsi="仿宋_GB2312" w:eastAsia="仿宋_GB2312" w:cs="仿宋_GB2312"/>
          <w:color w:val="auto"/>
          <w:sz w:val="32"/>
          <w:szCs w:val="32"/>
          <w:lang w:val="en-US" w:eastAsia="zh-CN"/>
        </w:rPr>
        <w:t>候选律师事务所放弃入库、因不可抗力或重大利益冲突不能提供法律服务，或者被查实存在影响入库结果的违规行为等情形，公司可以按照评审小组推荐的</w:t>
      </w:r>
      <w:r>
        <w:rPr>
          <w:rFonts w:hint="default" w:ascii="仿宋_GB2312" w:hAnsi="仿宋_GB2312" w:eastAsia="仿宋_GB2312" w:cs="仿宋_GB2312"/>
          <w:color w:val="auto"/>
          <w:sz w:val="32"/>
          <w:szCs w:val="32"/>
          <w:lang w:val="en-US" w:eastAsia="zh-CN"/>
        </w:rPr>
        <w:t>入库</w:t>
      </w:r>
      <w:r>
        <w:rPr>
          <w:rFonts w:hint="eastAsia" w:ascii="仿宋_GB2312" w:hAnsi="仿宋_GB2312" w:eastAsia="仿宋_GB2312" w:cs="仿宋_GB2312"/>
          <w:color w:val="auto"/>
          <w:sz w:val="32"/>
          <w:szCs w:val="32"/>
          <w:lang w:val="en-US" w:eastAsia="zh-CN"/>
        </w:rPr>
        <w:t>候选律师事务所名单排序依次确定其他候选律师事务所为</w:t>
      </w:r>
      <w:r>
        <w:rPr>
          <w:rFonts w:hint="default" w:ascii="仿宋_GB2312" w:hAnsi="仿宋_GB2312" w:eastAsia="仿宋_GB2312" w:cs="仿宋_GB2312"/>
          <w:color w:val="auto"/>
          <w:sz w:val="32"/>
          <w:szCs w:val="32"/>
          <w:lang w:val="en-US" w:eastAsia="zh-CN"/>
        </w:rPr>
        <w:t>入库</w:t>
      </w:r>
      <w:r>
        <w:rPr>
          <w:rFonts w:hint="eastAsia" w:ascii="仿宋_GB2312" w:hAnsi="仿宋_GB2312" w:eastAsia="仿宋_GB2312" w:cs="仿宋_GB2312"/>
          <w:color w:val="auto"/>
          <w:sz w:val="32"/>
          <w:szCs w:val="32"/>
          <w:lang w:val="en-US" w:eastAsia="zh-CN"/>
        </w:rPr>
        <w:t>律师事务所，也可以重新开展采购。</w:t>
      </w:r>
    </w:p>
    <w:p w14:paraId="3DCE2536">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（三）参选文件要求</w:t>
      </w:r>
    </w:p>
    <w:p w14:paraId="32A857D4">
      <w:pPr>
        <w:keepNext w:val="0"/>
        <w:keepLines w:val="0"/>
        <w:pageBreakBefore w:val="0"/>
        <w:widowControl/>
        <w:numPr>
          <w:ilvl w:val="0"/>
          <w:numId w:val="5"/>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应当严格按照本项目比选文件要求同时提交电子版和纸质版的参选文件（具体详见附件一），纸质版材料扫描成电子版存储U盘，连同纸质版材料，装入密封的信封或包装；参选文件封面应当标明项目名称、参选人名称、联系地址和方式、参选日期；参选文件密封封口处应当粘贴密封条并加盖参选人公章递交至下列指定地点、人员签收。</w:t>
      </w:r>
    </w:p>
    <w:p w14:paraId="1D875D95">
      <w:pPr>
        <w:keepNext w:val="0"/>
        <w:keepLines w:val="0"/>
        <w:pageBreakBefore w:val="0"/>
        <w:widowControl/>
        <w:numPr>
          <w:ilvl w:val="0"/>
          <w:numId w:val="5"/>
        </w:numPr>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参选文件纸质版材料正本壹份，副本贰份，并在其封面上清晰标明“正本”或“副本”字样；正本与副本不一致的，以正本为准；正本和副本均需在规定签章处签名或盖章，并加盖骑缝章。</w:t>
      </w:r>
    </w:p>
    <w:p w14:paraId="08FC0F8F">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lang w:val="en-US" w:eastAsia="zh-CN"/>
        </w:rPr>
        <w:t>其他说明</w:t>
      </w:r>
    </w:p>
    <w:p w14:paraId="164CB7DF">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（一）比选文件获取方式</w:t>
      </w:r>
    </w:p>
    <w:p w14:paraId="4569EA3F">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请有意参加本项目的</w:t>
      </w:r>
      <w:r>
        <w:rPr>
          <w:rFonts w:hint="eastAsia" w:ascii="仿宋_GB2312" w:hAnsi="仿宋_GB2312" w:eastAsia="仿宋_GB2312" w:cs="仿宋_GB2312"/>
          <w:color w:val="auto"/>
          <w:sz w:val="32"/>
          <w:szCs w:val="32"/>
          <w:lang w:val="en-US" w:eastAsia="zh-CN"/>
        </w:rPr>
        <w:t>潜在参选人</w:t>
      </w:r>
      <w:r>
        <w:rPr>
          <w:rFonts w:hint="eastAsia" w:ascii="仿宋_GB2312" w:hAnsi="仿宋_GB2312" w:eastAsia="仿宋_GB2312" w:cs="仿宋_GB2312"/>
          <w:color w:val="auto"/>
          <w:sz w:val="32"/>
          <w:szCs w:val="32"/>
          <w:lang w:eastAsia="zh-CN"/>
        </w:rPr>
        <w:t>，前往海南联合资产管理有限公司网站（http://www.hnlhzc.com/）自行下载</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eastAsia="zh-CN"/>
        </w:rPr>
        <w:t>文件。</w:t>
      </w:r>
    </w:p>
    <w:p w14:paraId="42890251">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（二）参选文件递交截止时间</w:t>
      </w:r>
    </w:p>
    <w:p w14:paraId="42E41AFE">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lang w:eastAsia="zh-CN"/>
        </w:rPr>
        <w:t>文件须于2025年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lang w:eastAsia="zh-CN"/>
        </w:rPr>
        <w:t>时前递交至</w:t>
      </w:r>
      <w:r>
        <w:rPr>
          <w:rFonts w:hint="eastAsia" w:ascii="仿宋_GB2312" w:hAnsi="仿宋_GB2312" w:eastAsia="仿宋_GB2312" w:cs="仿宋_GB2312"/>
          <w:color w:val="auto"/>
          <w:sz w:val="32"/>
          <w:szCs w:val="32"/>
          <w:lang w:val="en-US" w:eastAsia="zh-CN"/>
        </w:rPr>
        <w:t>指定地点；</w:t>
      </w:r>
      <w:r>
        <w:rPr>
          <w:rFonts w:hint="eastAsia" w:ascii="仿宋_GB2312" w:hAnsi="仿宋_GB2312" w:eastAsia="仿宋_GB2312" w:cs="仿宋_GB2312"/>
          <w:color w:val="auto"/>
          <w:sz w:val="32"/>
          <w:szCs w:val="32"/>
          <w:lang w:eastAsia="zh-CN"/>
        </w:rPr>
        <w:t>逾期送达的或不符合</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eastAsia="zh-CN"/>
        </w:rPr>
        <w:t>文件规定要求的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lang w:eastAsia="zh-CN"/>
        </w:rPr>
        <w:t>文件，</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lang w:eastAsia="zh-CN"/>
        </w:rPr>
        <w:t>不予</w:t>
      </w:r>
      <w:r>
        <w:rPr>
          <w:rFonts w:hint="eastAsia" w:ascii="仿宋_GB2312" w:hAnsi="仿宋_GB2312" w:eastAsia="仿宋_GB2312" w:cs="仿宋_GB2312"/>
          <w:color w:val="auto"/>
          <w:sz w:val="32"/>
          <w:szCs w:val="32"/>
          <w:lang w:val="en-US" w:eastAsia="zh-CN"/>
        </w:rPr>
        <w:t>受理</w:t>
      </w:r>
      <w:r>
        <w:rPr>
          <w:rFonts w:hint="eastAsia" w:ascii="仿宋_GB2312" w:hAnsi="仿宋_GB2312" w:eastAsia="仿宋_GB2312" w:cs="仿宋_GB2312"/>
          <w:color w:val="auto"/>
          <w:sz w:val="32"/>
          <w:szCs w:val="32"/>
          <w:lang w:eastAsia="zh-CN"/>
        </w:rPr>
        <w:t>。</w:t>
      </w:r>
    </w:p>
    <w:p w14:paraId="221F1D70">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（三）参选文件递交地址</w:t>
      </w:r>
    </w:p>
    <w:p w14:paraId="4F877EF8">
      <w:pPr>
        <w:pStyle w:val="20"/>
        <w:keepNext w:val="0"/>
        <w:keepLines w:val="0"/>
        <w:pageBreakBefore w:val="0"/>
        <w:widowControl/>
        <w:numPr>
          <w:ilvl w:val="0"/>
          <w:numId w:val="0"/>
        </w:numPr>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海南省海口市</w:t>
      </w:r>
      <w:r>
        <w:rPr>
          <w:rFonts w:hint="eastAsia" w:ascii="仿宋_GB2312" w:hAnsi="仿宋_GB2312" w:eastAsia="仿宋_GB2312" w:cs="仿宋_GB2312"/>
          <w:color w:val="auto"/>
          <w:sz w:val="32"/>
          <w:szCs w:val="32"/>
          <w:lang w:val="en-US" w:eastAsia="zh-CN"/>
        </w:rPr>
        <w:t>龙华区</w:t>
      </w:r>
      <w:r>
        <w:rPr>
          <w:rFonts w:hint="eastAsia" w:ascii="仿宋_GB2312" w:hAnsi="仿宋_GB2312" w:eastAsia="仿宋_GB2312" w:cs="仿宋_GB2312"/>
          <w:color w:val="auto"/>
          <w:sz w:val="32"/>
          <w:szCs w:val="32"/>
          <w:lang w:eastAsia="zh-CN"/>
        </w:rPr>
        <w:t>滨海大道81号南洋大厦23</w:t>
      </w:r>
      <w:r>
        <w:rPr>
          <w:rFonts w:hint="eastAsia" w:ascii="仿宋_GB2312" w:hAnsi="仿宋_GB2312" w:eastAsia="仿宋_GB2312" w:cs="仿宋_GB2312"/>
          <w:color w:val="auto"/>
          <w:sz w:val="32"/>
          <w:szCs w:val="32"/>
          <w:lang w:val="en-US" w:eastAsia="zh-CN"/>
        </w:rPr>
        <w:t>楼</w:t>
      </w:r>
      <w:r>
        <w:rPr>
          <w:rFonts w:hint="eastAsia" w:ascii="仿宋_GB2312" w:hAnsi="仿宋_GB2312" w:eastAsia="仿宋_GB2312" w:cs="仿宋_GB2312"/>
          <w:color w:val="auto"/>
          <w:sz w:val="32"/>
          <w:szCs w:val="32"/>
          <w:lang w:eastAsia="zh-CN"/>
        </w:rPr>
        <w:t>海南联合资产管理有限公司</w:t>
      </w:r>
      <w:r>
        <w:rPr>
          <w:rFonts w:hint="eastAsia" w:ascii="仿宋_GB2312" w:hAnsi="仿宋_GB2312" w:eastAsia="仿宋_GB2312" w:cs="仿宋_GB2312"/>
          <w:color w:val="auto"/>
          <w:sz w:val="32"/>
          <w:szCs w:val="32"/>
          <w:lang w:val="en-US" w:eastAsia="zh-CN"/>
        </w:rPr>
        <w:t>。</w:t>
      </w:r>
    </w:p>
    <w:p w14:paraId="4A066AC2">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（四）现场评审时间、地点</w:t>
      </w:r>
    </w:p>
    <w:p w14:paraId="3FF9704E">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本项目拟定于</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lang w:eastAsia="zh-CN"/>
        </w:rPr>
        <w:t>时，</w:t>
      </w:r>
      <w:r>
        <w:rPr>
          <w:rFonts w:hint="eastAsia"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lang w:eastAsia="zh-CN"/>
        </w:rPr>
        <w:t>海南省海口市</w:t>
      </w:r>
      <w:r>
        <w:rPr>
          <w:rFonts w:hint="eastAsia" w:ascii="仿宋_GB2312" w:hAnsi="仿宋_GB2312" w:eastAsia="仿宋_GB2312" w:cs="仿宋_GB2312"/>
          <w:color w:val="auto"/>
          <w:sz w:val="32"/>
          <w:szCs w:val="32"/>
          <w:lang w:val="en-US" w:eastAsia="zh-CN"/>
        </w:rPr>
        <w:t>龙华区</w:t>
      </w:r>
      <w:r>
        <w:rPr>
          <w:rFonts w:hint="eastAsia" w:ascii="仿宋_GB2312" w:hAnsi="仿宋_GB2312" w:eastAsia="仿宋_GB2312" w:cs="仿宋_GB2312"/>
          <w:color w:val="auto"/>
          <w:sz w:val="32"/>
          <w:szCs w:val="32"/>
          <w:lang w:eastAsia="zh-CN"/>
        </w:rPr>
        <w:t>滨海大道81号南洋大厦23</w:t>
      </w:r>
      <w:r>
        <w:rPr>
          <w:rFonts w:hint="eastAsia" w:ascii="仿宋_GB2312" w:hAnsi="仿宋_GB2312" w:eastAsia="仿宋_GB2312" w:cs="仿宋_GB2312"/>
          <w:color w:val="auto"/>
          <w:sz w:val="32"/>
          <w:szCs w:val="32"/>
          <w:lang w:val="en-US" w:eastAsia="zh-CN"/>
        </w:rPr>
        <w:t>楼</w:t>
      </w:r>
      <w:r>
        <w:rPr>
          <w:rFonts w:hint="eastAsia" w:ascii="仿宋_GB2312" w:hAnsi="仿宋_GB2312" w:eastAsia="仿宋_GB2312" w:cs="仿宋_GB2312"/>
          <w:color w:val="auto"/>
          <w:sz w:val="32"/>
          <w:szCs w:val="32"/>
          <w:lang w:eastAsia="zh-CN"/>
        </w:rPr>
        <w:t>海南联合资产管理有限公司会议室</w:t>
      </w:r>
      <w:r>
        <w:rPr>
          <w:rFonts w:hint="eastAsia" w:ascii="仿宋_GB2312" w:hAnsi="仿宋_GB2312" w:eastAsia="仿宋_GB2312" w:cs="仿宋_GB2312"/>
          <w:color w:val="auto"/>
          <w:sz w:val="32"/>
          <w:szCs w:val="32"/>
          <w:lang w:val="en-US" w:eastAsia="zh-CN"/>
        </w:rPr>
        <w:t>现场评审；现场评审结束后在</w:t>
      </w:r>
      <w:r>
        <w:rPr>
          <w:rFonts w:hint="eastAsia" w:ascii="仿宋_GB2312" w:hAnsi="仿宋_GB2312" w:eastAsia="仿宋_GB2312" w:cs="仿宋_GB2312"/>
          <w:color w:val="auto"/>
          <w:sz w:val="32"/>
          <w:szCs w:val="32"/>
          <w:lang w:eastAsia="zh-CN"/>
        </w:rPr>
        <w:t>海南联合资产管理有限公司网站（http://www.hnlhzc.com/）</w:t>
      </w:r>
      <w:r>
        <w:rPr>
          <w:rFonts w:hint="eastAsia" w:ascii="仿宋_GB2312" w:hAnsi="仿宋_GB2312" w:eastAsia="仿宋_GB2312" w:cs="仿宋_GB2312"/>
          <w:color w:val="auto"/>
          <w:sz w:val="32"/>
          <w:szCs w:val="32"/>
          <w:lang w:val="en-US" w:eastAsia="zh-CN"/>
        </w:rPr>
        <w:t>公告入库律师事务所候选人名单</w:t>
      </w:r>
      <w:r>
        <w:rPr>
          <w:rFonts w:hint="eastAsia" w:ascii="仿宋_GB2312" w:hAnsi="仿宋_GB2312" w:eastAsia="仿宋_GB2312" w:cs="仿宋_GB2312"/>
          <w:color w:val="auto"/>
          <w:sz w:val="32"/>
          <w:szCs w:val="32"/>
          <w:lang w:eastAsia="zh-CN"/>
        </w:rPr>
        <w:t>。</w:t>
      </w:r>
    </w:p>
    <w:p w14:paraId="506AF31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（五）项目咨询联系方式</w:t>
      </w:r>
    </w:p>
    <w:p w14:paraId="18860D6E">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lang w:eastAsia="zh-CN"/>
        </w:rPr>
        <w:t>有关事项需要咨询</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可以与下列人员联系：</w:t>
      </w:r>
    </w:p>
    <w:p w14:paraId="770550D1">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 系 人：</w:t>
      </w:r>
      <w:r>
        <w:rPr>
          <w:rFonts w:hint="eastAsia" w:ascii="仿宋_GB2312" w:hAnsi="仿宋_GB2312" w:eastAsia="仿宋_GB2312" w:cs="仿宋_GB2312"/>
          <w:color w:val="auto"/>
          <w:sz w:val="32"/>
          <w:szCs w:val="32"/>
          <w:lang w:val="en-US" w:eastAsia="zh-CN"/>
        </w:rPr>
        <w:t>凌绵翰</w:t>
      </w:r>
      <w:r>
        <w:rPr>
          <w:rFonts w:hint="eastAsia" w:ascii="仿宋_GB2312" w:hAnsi="仿宋_GB2312" w:eastAsia="仿宋_GB2312" w:cs="仿宋_GB2312"/>
          <w:color w:val="auto"/>
          <w:sz w:val="32"/>
          <w:szCs w:val="32"/>
          <w:lang w:eastAsia="zh-CN"/>
        </w:rPr>
        <w:t>，联系电话：</w:t>
      </w:r>
      <w:r>
        <w:rPr>
          <w:rFonts w:hint="eastAsia" w:ascii="仿宋_GB2312" w:hAnsi="仿宋_GB2312" w:eastAsia="仿宋_GB2312" w:cs="仿宋_GB2312"/>
          <w:color w:val="auto"/>
          <w:sz w:val="32"/>
          <w:szCs w:val="32"/>
          <w:lang w:val="en-US" w:eastAsia="zh-CN"/>
        </w:rPr>
        <w:t>13158904490</w:t>
      </w:r>
    </w:p>
    <w:p w14:paraId="540E74B3">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 系 人：</w:t>
      </w:r>
      <w:r>
        <w:rPr>
          <w:rFonts w:hint="eastAsia" w:ascii="仿宋_GB2312" w:hAnsi="仿宋_GB2312" w:eastAsia="仿宋_GB2312" w:cs="仿宋_GB2312"/>
          <w:color w:val="auto"/>
          <w:sz w:val="32"/>
          <w:szCs w:val="32"/>
          <w:lang w:val="en-US" w:eastAsia="zh-CN"/>
        </w:rPr>
        <w:t>周执弘</w:t>
      </w:r>
      <w:r>
        <w:rPr>
          <w:rFonts w:hint="eastAsia" w:ascii="仿宋_GB2312" w:hAnsi="仿宋_GB2312" w:eastAsia="仿宋_GB2312" w:cs="仿宋_GB2312"/>
          <w:color w:val="auto"/>
          <w:sz w:val="32"/>
          <w:szCs w:val="32"/>
          <w:lang w:eastAsia="zh-CN"/>
        </w:rPr>
        <w:t>，联系电话：</w:t>
      </w:r>
      <w:r>
        <w:rPr>
          <w:rFonts w:hint="eastAsia" w:ascii="仿宋_GB2312" w:hAnsi="仿宋_GB2312" w:eastAsia="仿宋_GB2312" w:cs="仿宋_GB2312"/>
          <w:color w:val="auto"/>
          <w:sz w:val="32"/>
          <w:szCs w:val="32"/>
          <w:lang w:val="en-US" w:eastAsia="zh-CN"/>
        </w:rPr>
        <w:t>18808977510</w:t>
      </w:r>
    </w:p>
    <w:p w14:paraId="214714FB">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联系地址：海南省海口市</w:t>
      </w:r>
      <w:r>
        <w:rPr>
          <w:rFonts w:hint="eastAsia" w:ascii="仿宋_GB2312" w:hAnsi="仿宋_GB2312" w:eastAsia="仿宋_GB2312" w:cs="仿宋_GB2312"/>
          <w:color w:val="auto"/>
          <w:sz w:val="32"/>
          <w:szCs w:val="32"/>
          <w:lang w:val="en-US" w:eastAsia="zh-CN"/>
        </w:rPr>
        <w:t>龙华区</w:t>
      </w:r>
      <w:r>
        <w:rPr>
          <w:rFonts w:hint="eastAsia" w:ascii="仿宋_GB2312" w:hAnsi="仿宋_GB2312" w:eastAsia="仿宋_GB2312" w:cs="仿宋_GB2312"/>
          <w:color w:val="auto"/>
          <w:sz w:val="32"/>
          <w:szCs w:val="32"/>
          <w:lang w:eastAsia="zh-CN"/>
        </w:rPr>
        <w:t>滨海大道81号南洋大厦23</w:t>
      </w:r>
      <w:r>
        <w:rPr>
          <w:rFonts w:hint="eastAsia" w:ascii="仿宋_GB2312" w:hAnsi="仿宋_GB2312" w:eastAsia="仿宋_GB2312" w:cs="仿宋_GB2312"/>
          <w:color w:val="auto"/>
          <w:sz w:val="32"/>
          <w:szCs w:val="32"/>
          <w:lang w:val="en-US" w:eastAsia="zh-CN"/>
        </w:rPr>
        <w:t>楼2302办公室法律事务部</w:t>
      </w:r>
    </w:p>
    <w:p w14:paraId="2DFB0059">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邮政编码：570105</w:t>
      </w:r>
    </w:p>
    <w:p w14:paraId="664D2076">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34DA61A9">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：海南联合资产管理有限公司公开比选组建法律服务机构库项目</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eastAsia="zh-CN"/>
        </w:rPr>
        <w:t>文件</w:t>
      </w:r>
    </w:p>
    <w:p w14:paraId="2E45A3D1">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1BA7AE41">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3D199529">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3840" w:firstLineChars="1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海南联合资产管理有限公司</w:t>
      </w:r>
    </w:p>
    <w:p w14:paraId="4B4A042A">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val="0"/>
        <w:overflowPunct w:val="0"/>
        <w:topLinePunct w:val="0"/>
        <w:autoSpaceDE/>
        <w:autoSpaceDN/>
        <w:bidi w:val="0"/>
        <w:adjustRightInd/>
        <w:snapToGrid w:val="0"/>
        <w:spacing w:line="560" w:lineRule="exact"/>
        <w:ind w:firstLine="4480" w:firstLineChars="1400"/>
        <w:jc w:val="both"/>
        <w:textAlignment w:val="auto"/>
        <w:rPr>
          <w:rFonts w:hint="eastAsia"/>
          <w:lang w:eastAsia="zh-CN"/>
        </w:rPr>
      </w:pP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日</w:t>
      </w:r>
    </w:p>
    <w:p w14:paraId="7C561B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bookmarkEnd w:id="6"/>
    <w:p w14:paraId="551F1E5D">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eastAsia" w:ascii="黑体" w:hAnsi="黑体" w:eastAsia="黑体" w:cs="黑体"/>
          <w:b w:val="0"/>
          <w:bCs w:val="0"/>
          <w:color w:val="auto"/>
          <w:lang w:val="en-US" w:eastAsia="zh-CN"/>
        </w:rPr>
      </w:pPr>
      <w:bookmarkStart w:id="9" w:name="_Toc31223"/>
      <w:bookmarkStart w:id="10" w:name="_Toc81784906"/>
      <w:r>
        <w:rPr>
          <w:rFonts w:hint="eastAsia" w:ascii="黑体" w:hAnsi="黑体" w:eastAsia="黑体" w:cs="黑体"/>
          <w:b w:val="0"/>
          <w:bCs w:val="0"/>
          <w:color w:val="auto"/>
          <w:lang w:val="en-US" w:eastAsia="zh-CN"/>
        </w:rPr>
        <w:t>第二章</w:t>
      </w:r>
      <w:bookmarkEnd w:id="7"/>
      <w:r>
        <w:rPr>
          <w:rFonts w:hint="eastAsia" w:ascii="黑体" w:hAnsi="黑体" w:eastAsia="黑体" w:cs="黑体"/>
          <w:b w:val="0"/>
          <w:bCs w:val="0"/>
          <w:color w:val="auto"/>
          <w:lang w:val="en-US" w:eastAsia="zh-CN"/>
        </w:rPr>
        <w:t xml:space="preserve"> 参选须知</w:t>
      </w:r>
      <w:bookmarkEnd w:id="9"/>
      <w:bookmarkEnd w:id="10"/>
    </w:p>
    <w:p w14:paraId="6A2A6A34">
      <w:pPr>
        <w:pageBreakBefore w:val="0"/>
        <w:kinsoku/>
        <w:wordWrap w:val="0"/>
        <w:overflowPunct w:val="0"/>
        <w:topLinePunct w:val="0"/>
        <w:autoSpaceDE/>
        <w:autoSpaceDN/>
        <w:bidi w:val="0"/>
        <w:adjustRightInd/>
        <w:spacing w:beforeAutospacing="0" w:afterAutospacing="0" w:line="560" w:lineRule="exact"/>
        <w:ind w:left="0" w:right="0" w:firstLine="0" w:firstLineChars="0"/>
        <w:jc w:val="both"/>
        <w:textAlignment w:val="auto"/>
        <w:rPr>
          <w:rFonts w:hint="eastAsia" w:ascii="仿宋_GB2312" w:hAnsi="仿宋_GB2312" w:eastAsia="仿宋_GB2312" w:cs="仿宋_GB2312"/>
          <w:color w:val="auto"/>
          <w:sz w:val="32"/>
          <w:szCs w:val="32"/>
        </w:rPr>
      </w:pPr>
      <w:bookmarkStart w:id="11" w:name="_Toc22742"/>
      <w:bookmarkStart w:id="12" w:name="_Toc81784910"/>
    </w:p>
    <w:p w14:paraId="02018F0A">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一、</w:t>
      </w:r>
      <w:r>
        <w:rPr>
          <w:rFonts w:hint="eastAsia" w:ascii="黑体" w:hAnsi="黑体" w:eastAsia="黑体" w:cs="黑体"/>
          <w:b w:val="0"/>
          <w:bCs w:val="0"/>
          <w:color w:val="auto"/>
          <w:sz w:val="32"/>
          <w:szCs w:val="32"/>
          <w:lang w:val="en-US" w:eastAsia="zh-CN"/>
        </w:rPr>
        <w:t>参选</w:t>
      </w:r>
      <w:r>
        <w:rPr>
          <w:rFonts w:hint="eastAsia" w:ascii="黑体" w:hAnsi="黑体" w:eastAsia="黑体" w:cs="黑体"/>
          <w:b w:val="0"/>
          <w:bCs w:val="0"/>
          <w:color w:val="auto"/>
          <w:sz w:val="32"/>
          <w:szCs w:val="32"/>
        </w:rPr>
        <w:t>须知前附表</w:t>
      </w:r>
    </w:p>
    <w:tbl>
      <w:tblPr>
        <w:tblStyle w:val="29"/>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18"/>
        <w:gridCol w:w="1702"/>
        <w:gridCol w:w="4999"/>
      </w:tblGrid>
      <w:tr w14:paraId="17A9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430085D2">
            <w:pPr>
              <w:keepNext w:val="0"/>
              <w:keepLines w:val="0"/>
              <w:pageBreakBefore w:val="0"/>
              <w:widowControl/>
              <w:kinsoku/>
              <w:wordWrap/>
              <w:overflowPunct w:val="0"/>
              <w:topLinePunct w:val="0"/>
              <w:autoSpaceDE/>
              <w:autoSpaceDN/>
              <w:bidi w:val="0"/>
              <w:adjustRightInd/>
              <w:snapToGrid/>
              <w:spacing w:beforeAutospacing="0" w:afterAutospacing="0" w:line="40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序号</w:t>
            </w:r>
          </w:p>
        </w:tc>
        <w:tc>
          <w:tcPr>
            <w:tcW w:w="1718" w:type="dxa"/>
            <w:vAlign w:val="center"/>
          </w:tcPr>
          <w:p w14:paraId="437DA47C">
            <w:pPr>
              <w:keepNext w:val="0"/>
              <w:keepLines w:val="0"/>
              <w:pageBreakBefore w:val="0"/>
              <w:widowControl/>
              <w:kinsoku/>
              <w:wordWrap/>
              <w:overflowPunct w:val="0"/>
              <w:topLinePunct w:val="0"/>
              <w:autoSpaceDE/>
              <w:autoSpaceDN/>
              <w:bidi w:val="0"/>
              <w:adjustRightInd/>
              <w:snapToGrid/>
              <w:spacing w:beforeAutospacing="0" w:afterAutospacing="0" w:line="40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内容</w:t>
            </w:r>
          </w:p>
        </w:tc>
        <w:tc>
          <w:tcPr>
            <w:tcW w:w="6701" w:type="dxa"/>
            <w:gridSpan w:val="2"/>
            <w:vAlign w:val="center"/>
          </w:tcPr>
          <w:p w14:paraId="53021C7B">
            <w:pPr>
              <w:keepNext w:val="0"/>
              <w:keepLines w:val="0"/>
              <w:pageBreakBefore w:val="0"/>
              <w:widowControl/>
              <w:kinsoku/>
              <w:wordWrap/>
              <w:overflowPunct w:val="0"/>
              <w:topLinePunct w:val="0"/>
              <w:autoSpaceDE/>
              <w:autoSpaceDN/>
              <w:bidi w:val="0"/>
              <w:adjustRightInd/>
              <w:snapToGrid/>
              <w:spacing w:beforeAutospacing="0" w:afterAutospacing="0" w:line="40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说明要求</w:t>
            </w:r>
          </w:p>
        </w:tc>
      </w:tr>
      <w:tr w14:paraId="3FE2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restart"/>
            <w:vAlign w:val="center"/>
          </w:tcPr>
          <w:p w14:paraId="1ED43042">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w:t>
            </w:r>
          </w:p>
        </w:tc>
        <w:tc>
          <w:tcPr>
            <w:tcW w:w="1718" w:type="dxa"/>
            <w:vMerge w:val="restart"/>
            <w:vAlign w:val="center"/>
          </w:tcPr>
          <w:p w14:paraId="389D35E1">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项目</w:t>
            </w:r>
            <w:r>
              <w:rPr>
                <w:rFonts w:hint="eastAsia" w:ascii="仿宋_GB2312" w:hAnsi="仿宋_GB2312" w:eastAsia="仿宋_GB2312" w:cs="仿宋_GB2312"/>
                <w:sz w:val="32"/>
                <w:szCs w:val="40"/>
                <w:lang w:val="en-US" w:eastAsia="zh-CN"/>
              </w:rPr>
              <w:t>概况</w:t>
            </w:r>
          </w:p>
        </w:tc>
        <w:tc>
          <w:tcPr>
            <w:tcW w:w="1702" w:type="dxa"/>
            <w:tcBorders>
              <w:right w:val="single" w:color="000000" w:sz="6" w:space="0"/>
            </w:tcBorders>
            <w:vAlign w:val="center"/>
          </w:tcPr>
          <w:p w14:paraId="20B52D5C">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项目名称</w:t>
            </w:r>
          </w:p>
        </w:tc>
        <w:tc>
          <w:tcPr>
            <w:tcW w:w="4999" w:type="dxa"/>
            <w:tcBorders>
              <w:left w:val="single" w:color="000000" w:sz="6" w:space="0"/>
            </w:tcBorders>
            <w:vAlign w:val="center"/>
          </w:tcPr>
          <w:p w14:paraId="596F2862">
            <w:pPr>
              <w:keepNext w:val="0"/>
              <w:keepLines w:val="0"/>
              <w:pageBreakBefore w:val="0"/>
              <w:kinsoku/>
              <w:wordWrap/>
              <w:topLinePunct w:val="0"/>
              <w:autoSpaceDE/>
              <w:autoSpaceDN/>
              <w:bidi w:val="0"/>
              <w:adjustRightInd/>
              <w:snapToGrid/>
              <w:spacing w:line="4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海南联合资产管理有限公司公开比选组建法律服务机构库项目</w:t>
            </w:r>
          </w:p>
        </w:tc>
      </w:tr>
      <w:tr w14:paraId="3120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continue"/>
            <w:vAlign w:val="center"/>
          </w:tcPr>
          <w:p w14:paraId="5C26F84D">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val="en-US" w:eastAsia="zh-CN"/>
              </w:rPr>
            </w:pPr>
          </w:p>
        </w:tc>
        <w:tc>
          <w:tcPr>
            <w:tcW w:w="1718" w:type="dxa"/>
            <w:vMerge w:val="continue"/>
            <w:vAlign w:val="center"/>
          </w:tcPr>
          <w:p w14:paraId="54E07814">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rPr>
            </w:pPr>
          </w:p>
        </w:tc>
        <w:tc>
          <w:tcPr>
            <w:tcW w:w="1702" w:type="dxa"/>
            <w:tcBorders>
              <w:right w:val="single" w:color="000000" w:sz="6" w:space="0"/>
            </w:tcBorders>
            <w:vAlign w:val="center"/>
          </w:tcPr>
          <w:p w14:paraId="34B6261F">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项目概述</w:t>
            </w:r>
          </w:p>
        </w:tc>
        <w:tc>
          <w:tcPr>
            <w:tcW w:w="4999" w:type="dxa"/>
            <w:tcBorders>
              <w:left w:val="single" w:color="000000" w:sz="6" w:space="0"/>
            </w:tcBorders>
            <w:vAlign w:val="center"/>
          </w:tcPr>
          <w:p w14:paraId="46230E7F">
            <w:pPr>
              <w:keepNext w:val="0"/>
              <w:keepLines w:val="0"/>
              <w:pageBreakBefore w:val="0"/>
              <w:kinsoku/>
              <w:wordWrap/>
              <w:topLinePunct w:val="0"/>
              <w:autoSpaceDE/>
              <w:autoSpaceDN/>
              <w:bidi w:val="0"/>
              <w:adjustRightInd/>
              <w:snapToGrid/>
              <w:spacing w:line="4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公开比选律师事务所组建法律服务机构库，入库律师事务所可以承办公司及所属企业重大非诉、诉讼、仲裁等法律纠纷案件（专项法律事务）等。</w:t>
            </w:r>
          </w:p>
        </w:tc>
      </w:tr>
      <w:tr w14:paraId="0B12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Merge w:val="continue"/>
            <w:vAlign w:val="center"/>
          </w:tcPr>
          <w:p w14:paraId="7AA07512">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rPr>
            </w:pPr>
          </w:p>
        </w:tc>
        <w:tc>
          <w:tcPr>
            <w:tcW w:w="1718" w:type="dxa"/>
            <w:vMerge w:val="continue"/>
            <w:vAlign w:val="center"/>
          </w:tcPr>
          <w:p w14:paraId="6F4F86E1">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rPr>
            </w:pPr>
          </w:p>
        </w:tc>
        <w:tc>
          <w:tcPr>
            <w:tcW w:w="1702" w:type="dxa"/>
            <w:tcBorders>
              <w:right w:val="single" w:color="000000" w:sz="6" w:space="0"/>
            </w:tcBorders>
            <w:vAlign w:val="center"/>
          </w:tcPr>
          <w:p w14:paraId="4145919E">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服务期限</w:t>
            </w:r>
          </w:p>
        </w:tc>
        <w:tc>
          <w:tcPr>
            <w:tcW w:w="4999" w:type="dxa"/>
            <w:tcBorders>
              <w:left w:val="single" w:color="000000" w:sz="6" w:space="0"/>
            </w:tcBorders>
            <w:vAlign w:val="center"/>
          </w:tcPr>
          <w:p w14:paraId="5AD3FCA6">
            <w:pPr>
              <w:keepNext w:val="0"/>
              <w:keepLines w:val="0"/>
              <w:pageBreakBefore w:val="0"/>
              <w:kinsoku/>
              <w:wordWrap/>
              <w:topLinePunct w:val="0"/>
              <w:autoSpaceDE/>
              <w:autoSpaceDN/>
              <w:bidi w:val="0"/>
              <w:adjustRightInd/>
              <w:snapToGrid/>
              <w:spacing w:line="400" w:lineRule="exact"/>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不超过3年，自入库通知书签发之日起算；到期后至采购人建立新的法律服务机构库之前，现有法律服务机构库继续使用（原则上不超过三个月）；法律服务机构库实行动态调整机制。</w:t>
            </w:r>
          </w:p>
        </w:tc>
      </w:tr>
      <w:tr w14:paraId="3C33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0DFF5856">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rPr>
            </w:pPr>
          </w:p>
        </w:tc>
        <w:tc>
          <w:tcPr>
            <w:tcW w:w="1718" w:type="dxa"/>
            <w:vMerge w:val="continue"/>
            <w:vAlign w:val="center"/>
          </w:tcPr>
          <w:p w14:paraId="3B1E8975">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rPr>
            </w:pPr>
          </w:p>
        </w:tc>
        <w:tc>
          <w:tcPr>
            <w:tcW w:w="1702" w:type="dxa"/>
            <w:tcBorders>
              <w:right w:val="single" w:color="000000" w:sz="6" w:space="0"/>
            </w:tcBorders>
            <w:vAlign w:val="center"/>
          </w:tcPr>
          <w:p w14:paraId="65301CC6">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服务</w:t>
            </w:r>
            <w:r>
              <w:rPr>
                <w:rFonts w:hint="eastAsia" w:ascii="仿宋_GB2312" w:hAnsi="仿宋_GB2312" w:eastAsia="仿宋_GB2312" w:cs="仿宋_GB2312"/>
                <w:sz w:val="32"/>
                <w:szCs w:val="40"/>
                <w:lang w:val="en-US" w:eastAsia="zh-CN"/>
              </w:rPr>
              <w:t>费用</w:t>
            </w:r>
          </w:p>
        </w:tc>
        <w:tc>
          <w:tcPr>
            <w:tcW w:w="4999" w:type="dxa"/>
            <w:tcBorders>
              <w:left w:val="single" w:color="000000" w:sz="6" w:space="0"/>
            </w:tcBorders>
            <w:vAlign w:val="center"/>
          </w:tcPr>
          <w:p w14:paraId="66306569">
            <w:pPr>
              <w:keepNext w:val="0"/>
              <w:keepLines w:val="0"/>
              <w:pageBreakBefore w:val="0"/>
              <w:kinsoku/>
              <w:wordWrap/>
              <w:topLinePunct w:val="0"/>
              <w:autoSpaceDE/>
              <w:autoSpaceDN/>
              <w:bidi w:val="0"/>
              <w:adjustRightInd/>
              <w:snapToGrid/>
              <w:spacing w:line="400" w:lineRule="exact"/>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入库律师事务所具体承办公司及所属企业法律纠纷案件（专项法律事务），服务收费不超过依据《海南省律师协会 关于更正〈海南省律师服务收费指引〉的通知》琼律协通﹝2020﹞58号 第八条至第十二条标准，不超过依据《司法部 国家发展和改革委员会 国家市场监督管理总局 印发&lt;关于进一步规范律师服务收费的意见&gt;的通知》司发通﹝2021﹞87号 第三条第（六）项标准。</w:t>
            </w:r>
          </w:p>
        </w:tc>
      </w:tr>
      <w:tr w14:paraId="2F49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693" w:type="dxa"/>
            <w:vMerge w:val="continue"/>
            <w:vAlign w:val="center"/>
          </w:tcPr>
          <w:p w14:paraId="7F5C3A76">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rPr>
            </w:pPr>
          </w:p>
        </w:tc>
        <w:tc>
          <w:tcPr>
            <w:tcW w:w="1718" w:type="dxa"/>
            <w:vMerge w:val="continue"/>
            <w:vAlign w:val="center"/>
          </w:tcPr>
          <w:p w14:paraId="7D71D68C">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rPr>
            </w:pPr>
          </w:p>
        </w:tc>
        <w:tc>
          <w:tcPr>
            <w:tcW w:w="1702" w:type="dxa"/>
            <w:tcBorders>
              <w:right w:val="single" w:color="000000" w:sz="6" w:space="0"/>
            </w:tcBorders>
            <w:vAlign w:val="center"/>
          </w:tcPr>
          <w:p w14:paraId="180853CE">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选聘数量</w:t>
            </w:r>
          </w:p>
        </w:tc>
        <w:tc>
          <w:tcPr>
            <w:tcW w:w="4999" w:type="dxa"/>
            <w:tcBorders>
              <w:left w:val="single" w:color="000000" w:sz="6" w:space="0"/>
            </w:tcBorders>
            <w:vAlign w:val="center"/>
          </w:tcPr>
          <w:p w14:paraId="398FA31A">
            <w:pPr>
              <w:keepNext w:val="0"/>
              <w:keepLines w:val="0"/>
              <w:pageBreakBefore w:val="0"/>
              <w:kinsoku/>
              <w:wordWrap/>
              <w:topLinePunct w:val="0"/>
              <w:autoSpaceDE/>
              <w:autoSpaceDN/>
              <w:bidi w:val="0"/>
              <w:adjustRightInd/>
              <w:snapToGrid/>
              <w:spacing w:line="400" w:lineRule="exac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不超过20家律师事务所（不接受联合体参选）。</w:t>
            </w:r>
          </w:p>
        </w:tc>
      </w:tr>
      <w:tr w14:paraId="7E6F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693" w:type="dxa"/>
            <w:vAlign w:val="center"/>
          </w:tcPr>
          <w:p w14:paraId="02823E60">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w:t>
            </w:r>
          </w:p>
        </w:tc>
        <w:tc>
          <w:tcPr>
            <w:tcW w:w="1718" w:type="dxa"/>
            <w:vAlign w:val="center"/>
          </w:tcPr>
          <w:p w14:paraId="59A71345">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项目</w:t>
            </w:r>
            <w:r>
              <w:rPr>
                <w:rFonts w:hint="eastAsia" w:ascii="仿宋_GB2312" w:hAnsi="仿宋_GB2312" w:eastAsia="仿宋_GB2312" w:cs="仿宋_GB2312"/>
                <w:sz w:val="32"/>
                <w:szCs w:val="40"/>
              </w:rPr>
              <w:t>内容</w:t>
            </w:r>
          </w:p>
        </w:tc>
        <w:tc>
          <w:tcPr>
            <w:tcW w:w="6701" w:type="dxa"/>
            <w:gridSpan w:val="2"/>
            <w:vAlign w:val="center"/>
          </w:tcPr>
          <w:p w14:paraId="1D2C84F5">
            <w:pPr>
              <w:keepNext w:val="0"/>
              <w:keepLines w:val="0"/>
              <w:pageBreakBefore w:val="0"/>
              <w:kinsoku/>
              <w:wordWrap/>
              <w:topLinePunct w:val="0"/>
              <w:autoSpaceDE/>
              <w:autoSpaceDN/>
              <w:bidi w:val="0"/>
              <w:adjustRightInd/>
              <w:snapToGrid/>
              <w:spacing w:line="400" w:lineRule="exac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详见采购公告</w:t>
            </w:r>
          </w:p>
        </w:tc>
      </w:tr>
      <w:tr w14:paraId="049A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693" w:type="dxa"/>
            <w:vAlign w:val="center"/>
          </w:tcPr>
          <w:p w14:paraId="0BE3FB57">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w:t>
            </w:r>
          </w:p>
        </w:tc>
        <w:tc>
          <w:tcPr>
            <w:tcW w:w="1718" w:type="dxa"/>
            <w:vAlign w:val="center"/>
          </w:tcPr>
          <w:p w14:paraId="3E8B5C7B">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项目要求</w:t>
            </w:r>
          </w:p>
        </w:tc>
        <w:tc>
          <w:tcPr>
            <w:tcW w:w="6701" w:type="dxa"/>
            <w:gridSpan w:val="2"/>
            <w:vAlign w:val="center"/>
          </w:tcPr>
          <w:p w14:paraId="2D025D5F">
            <w:pPr>
              <w:keepNext w:val="0"/>
              <w:keepLines w:val="0"/>
              <w:pageBreakBefore w:val="0"/>
              <w:kinsoku/>
              <w:wordWrap/>
              <w:topLinePunct w:val="0"/>
              <w:autoSpaceDE/>
              <w:autoSpaceDN/>
              <w:bidi w:val="0"/>
              <w:adjustRightInd/>
              <w:snapToGrid/>
              <w:spacing w:line="400" w:lineRule="exact"/>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详见采购公告</w:t>
            </w:r>
          </w:p>
        </w:tc>
      </w:tr>
      <w:tr w14:paraId="4459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693" w:type="dxa"/>
            <w:vMerge w:val="restart"/>
            <w:vAlign w:val="center"/>
          </w:tcPr>
          <w:p w14:paraId="07D60F7B">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val="en-US" w:eastAsia="zh-CN"/>
              </w:rPr>
            </w:pPr>
            <w:bookmarkStart w:id="13" w:name="_Toc81784908"/>
            <w:r>
              <w:rPr>
                <w:rFonts w:hint="eastAsia" w:ascii="仿宋_GB2312" w:hAnsi="仿宋_GB2312" w:eastAsia="仿宋_GB2312" w:cs="仿宋_GB2312"/>
                <w:sz w:val="32"/>
                <w:szCs w:val="40"/>
                <w:lang w:val="en-US" w:eastAsia="zh-CN"/>
              </w:rPr>
              <w:t>4</w:t>
            </w:r>
          </w:p>
        </w:tc>
        <w:tc>
          <w:tcPr>
            <w:tcW w:w="1718" w:type="dxa"/>
            <w:vMerge w:val="restart"/>
            <w:vAlign w:val="center"/>
          </w:tcPr>
          <w:p w14:paraId="70419F24">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比选要求</w:t>
            </w:r>
          </w:p>
        </w:tc>
        <w:tc>
          <w:tcPr>
            <w:tcW w:w="1702" w:type="dxa"/>
            <w:tcBorders>
              <w:right w:val="single" w:color="000000" w:sz="6" w:space="0"/>
            </w:tcBorders>
            <w:vAlign w:val="center"/>
          </w:tcPr>
          <w:p w14:paraId="26255369">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资格审查</w:t>
            </w:r>
          </w:p>
        </w:tc>
        <w:tc>
          <w:tcPr>
            <w:tcW w:w="4999" w:type="dxa"/>
            <w:tcBorders>
              <w:left w:val="single" w:color="000000" w:sz="6" w:space="0"/>
            </w:tcBorders>
            <w:vAlign w:val="center"/>
          </w:tcPr>
          <w:p w14:paraId="0F02909D">
            <w:pPr>
              <w:keepNext w:val="0"/>
              <w:keepLines w:val="0"/>
              <w:pageBreakBefore w:val="0"/>
              <w:kinsoku/>
              <w:wordWrap/>
              <w:topLinePunct w:val="0"/>
              <w:autoSpaceDE/>
              <w:autoSpaceDN/>
              <w:bidi w:val="0"/>
              <w:adjustRightInd/>
              <w:snapToGrid/>
              <w:spacing w:line="400" w:lineRule="exac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评审小组根据比选文件要求，对参选人的资格条件进行审查，只有通过资格审查才能进入综合评审。</w:t>
            </w:r>
          </w:p>
        </w:tc>
      </w:tr>
      <w:tr w14:paraId="2AFE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93" w:type="dxa"/>
            <w:vMerge w:val="continue"/>
            <w:vAlign w:val="center"/>
          </w:tcPr>
          <w:p w14:paraId="0BBA3195">
            <w:pPr>
              <w:keepNext w:val="0"/>
              <w:keepLines w:val="0"/>
              <w:pageBreakBefore w:val="0"/>
              <w:kinsoku/>
              <w:wordWrap/>
              <w:topLinePunct w:val="0"/>
              <w:autoSpaceDE/>
              <w:autoSpaceDN/>
              <w:bidi w:val="0"/>
              <w:adjustRightInd/>
              <w:snapToGrid/>
              <w:spacing w:line="400" w:lineRule="exact"/>
              <w:textAlignment w:val="auto"/>
              <w:rPr>
                <w:rFonts w:hint="eastAsia" w:ascii="仿宋_GB2312" w:hAnsi="仿宋_GB2312" w:eastAsia="仿宋_GB2312" w:cs="仿宋_GB2312"/>
                <w:sz w:val="32"/>
                <w:szCs w:val="40"/>
                <w:lang w:val="en-US" w:eastAsia="zh-CN"/>
              </w:rPr>
            </w:pPr>
          </w:p>
        </w:tc>
        <w:tc>
          <w:tcPr>
            <w:tcW w:w="1718" w:type="dxa"/>
            <w:vMerge w:val="continue"/>
            <w:vAlign w:val="center"/>
          </w:tcPr>
          <w:p w14:paraId="346298A4">
            <w:pPr>
              <w:keepNext w:val="0"/>
              <w:keepLines w:val="0"/>
              <w:pageBreakBefore w:val="0"/>
              <w:kinsoku/>
              <w:wordWrap/>
              <w:topLinePunct w:val="0"/>
              <w:autoSpaceDE/>
              <w:autoSpaceDN/>
              <w:bidi w:val="0"/>
              <w:adjustRightInd/>
              <w:snapToGrid/>
              <w:spacing w:line="400" w:lineRule="exact"/>
              <w:textAlignment w:val="auto"/>
              <w:rPr>
                <w:rFonts w:hint="eastAsia" w:ascii="仿宋_GB2312" w:hAnsi="仿宋_GB2312" w:eastAsia="仿宋_GB2312" w:cs="仿宋_GB2312"/>
                <w:sz w:val="32"/>
                <w:szCs w:val="40"/>
                <w:lang w:val="en-US" w:eastAsia="zh-CN"/>
              </w:rPr>
            </w:pPr>
          </w:p>
        </w:tc>
        <w:tc>
          <w:tcPr>
            <w:tcW w:w="1702" w:type="dxa"/>
            <w:tcBorders>
              <w:right w:val="single" w:color="000000" w:sz="6" w:space="0"/>
            </w:tcBorders>
            <w:vAlign w:val="center"/>
          </w:tcPr>
          <w:p w14:paraId="7DFA5CC6">
            <w:pPr>
              <w:keepNext w:val="0"/>
              <w:keepLines w:val="0"/>
              <w:pageBreakBefore w:val="0"/>
              <w:kinsoku/>
              <w:wordWrap/>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val="en-US" w:eastAsia="zh-CN"/>
              </w:rPr>
              <w:t>综合</w:t>
            </w:r>
            <w:r>
              <w:rPr>
                <w:rFonts w:hint="eastAsia" w:ascii="仿宋_GB2312" w:hAnsi="仿宋_GB2312" w:eastAsia="仿宋_GB2312" w:cs="仿宋_GB2312"/>
                <w:sz w:val="32"/>
                <w:szCs w:val="40"/>
                <w:lang w:eastAsia="zh-CN"/>
              </w:rPr>
              <w:t>评审</w:t>
            </w:r>
          </w:p>
        </w:tc>
        <w:tc>
          <w:tcPr>
            <w:tcW w:w="4999" w:type="dxa"/>
            <w:tcBorders>
              <w:left w:val="single" w:color="000000" w:sz="6" w:space="0"/>
            </w:tcBorders>
            <w:vAlign w:val="center"/>
          </w:tcPr>
          <w:p w14:paraId="5AAEBE91">
            <w:pPr>
              <w:keepNext w:val="0"/>
              <w:keepLines w:val="0"/>
              <w:pageBreakBefore w:val="0"/>
              <w:kinsoku/>
              <w:wordWrap/>
              <w:topLinePunct w:val="0"/>
              <w:autoSpaceDE/>
              <w:autoSpaceDN/>
              <w:bidi w:val="0"/>
              <w:adjustRightInd/>
              <w:snapToGrid/>
              <w:spacing w:line="400" w:lineRule="exac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采用综合评分法（满分100分），评审小组根据比选文件量化因素、分值要求，对参选文件的内容进行综合评价并计算出综合得分。</w:t>
            </w:r>
          </w:p>
        </w:tc>
      </w:tr>
    </w:tbl>
    <w:p w14:paraId="301EBB35">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343CBAC6">
      <w:pPr>
        <w:keepNext w:val="0"/>
        <w:keepLines w:val="0"/>
        <w:pageBreakBefore w:val="0"/>
        <w:widowControl/>
        <w:kinsoku/>
        <w:wordWrap/>
        <w:overflowPunct w:val="0"/>
        <w:topLinePunct w:val="0"/>
        <w:autoSpaceDE/>
        <w:autoSpaceDN/>
        <w:bidi w:val="0"/>
        <w:adjustRightInd/>
        <w:spacing w:beforeAutospacing="0" w:afterAutospacing="0" w:line="42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黑体" w:hAnsi="黑体" w:eastAsia="黑体" w:cs="黑体"/>
          <w:b w:val="0"/>
          <w:bCs w:val="0"/>
          <w:color w:val="auto"/>
          <w:sz w:val="32"/>
          <w:szCs w:val="32"/>
          <w:lang w:val="en-US" w:eastAsia="zh-CN"/>
        </w:rPr>
        <w:t>二、比选文件</w:t>
      </w:r>
      <w:bookmarkEnd w:id="13"/>
    </w:p>
    <w:p w14:paraId="157B41A7">
      <w:pPr>
        <w:keepNext w:val="0"/>
        <w:keepLines w:val="0"/>
        <w:pageBreakBefore w:val="0"/>
        <w:widowControl/>
        <w:numPr>
          <w:ilvl w:val="0"/>
          <w:numId w:val="6"/>
        </w:numPr>
        <w:kinsoku/>
        <w:wordWrap w:val="0"/>
        <w:overflowPunct w:val="0"/>
        <w:topLinePunct w:val="0"/>
        <w:autoSpaceDE/>
        <w:autoSpaceDN/>
        <w:bidi w:val="0"/>
        <w:adjustRightInd/>
        <w:snapToGrid/>
        <w:spacing w:line="42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比选文件的组成</w:t>
      </w:r>
    </w:p>
    <w:p w14:paraId="7DBD07ED">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w:t>
      </w:r>
      <w:r>
        <w:rPr>
          <w:rFonts w:hint="eastAsia" w:ascii="仿宋_GB2312" w:hAnsi="仿宋_GB2312" w:eastAsia="仿宋_GB2312" w:cs="仿宋_GB2312"/>
          <w:color w:val="auto"/>
          <w:sz w:val="32"/>
          <w:szCs w:val="32"/>
          <w:lang w:val="en-US" w:eastAsia="zh-CN"/>
        </w:rPr>
        <w:t xml:space="preserve"> 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主要</w:t>
      </w:r>
      <w:r>
        <w:rPr>
          <w:rFonts w:hint="eastAsia" w:ascii="仿宋_GB2312" w:hAnsi="仿宋_GB2312" w:eastAsia="仿宋_GB2312" w:cs="仿宋_GB2312"/>
          <w:color w:val="auto"/>
          <w:sz w:val="32"/>
          <w:szCs w:val="32"/>
        </w:rPr>
        <w:t>包括下列内容：</w:t>
      </w:r>
    </w:p>
    <w:p w14:paraId="60F5AE3F">
      <w:pPr>
        <w:keepNext w:val="0"/>
        <w:keepLines w:val="0"/>
        <w:pageBreakBefore w:val="0"/>
        <w:widowControl/>
        <w:numPr>
          <w:ilvl w:val="0"/>
          <w:numId w:val="7"/>
        </w:numPr>
        <w:kinsoku/>
        <w:wordWrap w:val="0"/>
        <w:overflowPunct w:val="0"/>
        <w:topLinePunct w:val="0"/>
        <w:autoSpaceDE/>
        <w:autoSpaceDN/>
        <w:bidi w:val="0"/>
        <w:adjustRightInd/>
        <w:snapToGrid w:val="0"/>
        <w:spacing w:beforeAutospacing="0" w:afterAutospacing="0" w:line="420" w:lineRule="exact"/>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采购公告</w:t>
      </w:r>
    </w:p>
    <w:p w14:paraId="44DAA55C">
      <w:pPr>
        <w:keepNext w:val="0"/>
        <w:keepLines w:val="0"/>
        <w:pageBreakBefore w:val="0"/>
        <w:widowControl/>
        <w:numPr>
          <w:ilvl w:val="0"/>
          <w:numId w:val="7"/>
        </w:numPr>
        <w:kinsoku/>
        <w:wordWrap w:val="0"/>
        <w:overflowPunct w:val="0"/>
        <w:topLinePunct w:val="0"/>
        <w:autoSpaceDE/>
        <w:autoSpaceDN/>
        <w:bidi w:val="0"/>
        <w:adjustRightInd/>
        <w:snapToGrid w:val="0"/>
        <w:spacing w:beforeAutospacing="0" w:afterAutospacing="0" w:line="420" w:lineRule="exact"/>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参选须知</w:t>
      </w:r>
    </w:p>
    <w:p w14:paraId="1A788E48">
      <w:pPr>
        <w:keepNext w:val="0"/>
        <w:keepLines w:val="0"/>
        <w:pageBreakBefore w:val="0"/>
        <w:widowControl/>
        <w:numPr>
          <w:ilvl w:val="0"/>
          <w:numId w:val="7"/>
        </w:numPr>
        <w:kinsoku/>
        <w:wordWrap w:val="0"/>
        <w:overflowPunct w:val="0"/>
        <w:topLinePunct w:val="0"/>
        <w:autoSpaceDE/>
        <w:autoSpaceDN/>
        <w:bidi w:val="0"/>
        <w:adjustRightInd/>
        <w:snapToGrid w:val="0"/>
        <w:spacing w:beforeAutospacing="0" w:afterAutospacing="0" w:line="420" w:lineRule="exact"/>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评审办法</w:t>
      </w:r>
    </w:p>
    <w:p w14:paraId="24756C32">
      <w:pPr>
        <w:keepNext w:val="0"/>
        <w:keepLines w:val="0"/>
        <w:pageBreakBefore w:val="0"/>
        <w:widowControl/>
        <w:numPr>
          <w:ilvl w:val="0"/>
          <w:numId w:val="7"/>
        </w:numPr>
        <w:kinsoku/>
        <w:wordWrap w:val="0"/>
        <w:overflowPunct w:val="0"/>
        <w:topLinePunct w:val="0"/>
        <w:autoSpaceDE/>
        <w:autoSpaceDN/>
        <w:bidi w:val="0"/>
        <w:adjustRightInd/>
        <w:snapToGrid w:val="0"/>
        <w:spacing w:beforeAutospacing="0" w:afterAutospacing="0" w:line="420" w:lineRule="exact"/>
        <w:ind w:left="0" w:leftChars="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合同文本</w:t>
      </w:r>
    </w:p>
    <w:p w14:paraId="7B67F144">
      <w:pPr>
        <w:keepNext w:val="0"/>
        <w:keepLines w:val="0"/>
        <w:pageBreakBefore w:val="0"/>
        <w:widowControl/>
        <w:numPr>
          <w:ilvl w:val="0"/>
          <w:numId w:val="7"/>
        </w:numPr>
        <w:kinsoku/>
        <w:wordWrap w:val="0"/>
        <w:overflowPunct w:val="0"/>
        <w:topLinePunct w:val="0"/>
        <w:autoSpaceDE/>
        <w:autoSpaceDN/>
        <w:bidi w:val="0"/>
        <w:adjustRightInd/>
        <w:snapToGrid w:val="0"/>
        <w:spacing w:beforeAutospacing="0" w:afterAutospacing="0" w:line="420" w:lineRule="exact"/>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参选文件格式</w:t>
      </w:r>
    </w:p>
    <w:p w14:paraId="59FB8423">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文件的规定和要求，按</w:t>
      </w:r>
      <w:r>
        <w:rPr>
          <w:rFonts w:hint="eastAsia" w:ascii="仿宋_GB2312" w:hAnsi="仿宋_GB2312" w:eastAsia="仿宋_GB2312" w:cs="仿宋_GB2312"/>
          <w:color w:val="auto"/>
          <w:sz w:val="32"/>
          <w:szCs w:val="32"/>
          <w:lang w:val="en-US" w:eastAsia="zh-CN"/>
        </w:rPr>
        <w:t>照比选</w:t>
      </w:r>
      <w:r>
        <w:rPr>
          <w:rFonts w:hint="eastAsia" w:ascii="仿宋_GB2312" w:hAnsi="仿宋_GB2312" w:eastAsia="仿宋_GB2312" w:cs="仿宋_GB2312"/>
          <w:color w:val="auto"/>
          <w:sz w:val="32"/>
          <w:szCs w:val="32"/>
        </w:rPr>
        <w:t>文件的规定和要求编写</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文件不符合</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文件的规定</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要求</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有可能导致废选，参选</w:t>
      </w:r>
      <w:r>
        <w:rPr>
          <w:rFonts w:hint="eastAsia" w:ascii="仿宋_GB2312" w:hAnsi="仿宋_GB2312" w:eastAsia="仿宋_GB2312" w:cs="仿宋_GB2312"/>
          <w:color w:val="auto"/>
          <w:sz w:val="32"/>
          <w:szCs w:val="32"/>
        </w:rPr>
        <w:t>人自行</w:t>
      </w:r>
      <w:r>
        <w:rPr>
          <w:rFonts w:hint="eastAsia" w:ascii="仿宋_GB2312" w:hAnsi="仿宋_GB2312" w:eastAsia="仿宋_GB2312" w:cs="仿宋_GB2312"/>
          <w:color w:val="auto"/>
          <w:sz w:val="32"/>
          <w:szCs w:val="32"/>
          <w:lang w:val="en-US" w:eastAsia="zh-CN"/>
        </w:rPr>
        <w:t>承担不利后果</w:t>
      </w:r>
      <w:r>
        <w:rPr>
          <w:rFonts w:hint="eastAsia" w:ascii="仿宋_GB2312" w:hAnsi="仿宋_GB2312" w:eastAsia="仿宋_GB2312" w:cs="仿宋_GB2312"/>
          <w:color w:val="auto"/>
          <w:sz w:val="32"/>
          <w:szCs w:val="32"/>
        </w:rPr>
        <w:t>。</w:t>
      </w:r>
    </w:p>
    <w:p w14:paraId="1EA42D48">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准确、</w:t>
      </w:r>
      <w:r>
        <w:rPr>
          <w:rFonts w:hint="eastAsia" w:ascii="仿宋_GB2312" w:hAnsi="仿宋_GB2312" w:eastAsia="仿宋_GB2312" w:cs="仿宋_GB2312"/>
          <w:color w:val="auto"/>
          <w:sz w:val="32"/>
          <w:szCs w:val="32"/>
        </w:rPr>
        <w:t>完整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若发现</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不清晰、</w:t>
      </w:r>
      <w:r>
        <w:rPr>
          <w:rFonts w:hint="eastAsia" w:ascii="仿宋_GB2312" w:hAnsi="仿宋_GB2312" w:eastAsia="仿宋_GB2312" w:cs="仿宋_GB2312"/>
          <w:color w:val="auto"/>
          <w:sz w:val="32"/>
          <w:szCs w:val="32"/>
        </w:rPr>
        <w:t>缺页或不全时，应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及时向</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提出，以便</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补</w:t>
      </w:r>
      <w:r>
        <w:rPr>
          <w:rFonts w:hint="eastAsia" w:ascii="仿宋_GB2312" w:hAnsi="仿宋_GB2312" w:eastAsia="仿宋_GB2312" w:cs="仿宋_GB2312"/>
          <w:color w:val="auto"/>
          <w:sz w:val="32"/>
          <w:szCs w:val="32"/>
          <w:lang w:val="en-US" w:eastAsia="zh-CN"/>
        </w:rPr>
        <w:t>正</w:t>
      </w:r>
      <w:r>
        <w:rPr>
          <w:rFonts w:hint="eastAsia" w:ascii="仿宋_GB2312" w:hAnsi="仿宋_GB2312" w:eastAsia="仿宋_GB2312" w:cs="仿宋_GB2312"/>
          <w:color w:val="auto"/>
          <w:sz w:val="32"/>
          <w:szCs w:val="32"/>
        </w:rPr>
        <w:t>。</w:t>
      </w:r>
    </w:p>
    <w:p w14:paraId="7315AD7F">
      <w:pPr>
        <w:keepNext w:val="0"/>
        <w:keepLines w:val="0"/>
        <w:pageBreakBefore w:val="0"/>
        <w:widowControl/>
        <w:numPr>
          <w:ilvl w:val="0"/>
          <w:numId w:val="6"/>
        </w:numPr>
        <w:kinsoku/>
        <w:wordWrap w:val="0"/>
        <w:overflowPunct w:val="0"/>
        <w:topLinePunct w:val="0"/>
        <w:autoSpaceDE/>
        <w:autoSpaceDN/>
        <w:bidi w:val="0"/>
        <w:adjustRightInd/>
        <w:snapToGrid/>
        <w:spacing w:line="42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比选文件的澄清与解答</w:t>
      </w:r>
    </w:p>
    <w:p w14:paraId="0088F96A">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请求对比选文件进行必要的澄清或修改的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可以在获取比选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后3日</w:t>
      </w:r>
      <w:r>
        <w:rPr>
          <w:rFonts w:hint="eastAsia" w:ascii="仿宋_GB2312" w:hAnsi="仿宋_GB2312" w:eastAsia="仿宋_GB2312" w:cs="仿宋_GB2312"/>
          <w:color w:val="auto"/>
          <w:sz w:val="32"/>
          <w:szCs w:val="32"/>
        </w:rPr>
        <w:t>内</w:t>
      </w:r>
      <w:r>
        <w:rPr>
          <w:rFonts w:hint="eastAsia" w:ascii="仿宋_GB2312" w:hAnsi="仿宋_GB2312" w:eastAsia="仿宋_GB2312" w:cs="仿宋_GB2312"/>
          <w:color w:val="auto"/>
          <w:sz w:val="32"/>
          <w:szCs w:val="32"/>
          <w:lang w:val="en-US" w:eastAsia="zh-CN"/>
        </w:rPr>
        <w:t>或参选截止时间至少1日前</w:t>
      </w:r>
      <w:r>
        <w:rPr>
          <w:rFonts w:hint="eastAsia" w:ascii="仿宋_GB2312" w:hAnsi="仿宋_GB2312" w:eastAsia="仿宋_GB2312" w:cs="仿宋_GB2312"/>
          <w:color w:val="auto"/>
          <w:sz w:val="32"/>
          <w:szCs w:val="32"/>
        </w:rPr>
        <w:t>，以书面形式向</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提交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公司经审查认为可能影响参选文件编制的，将在收到书面意见后3日</w:t>
      </w:r>
      <w:r>
        <w:rPr>
          <w:rFonts w:hint="eastAsia" w:ascii="仿宋_GB2312" w:hAnsi="仿宋_GB2312" w:eastAsia="仿宋_GB2312" w:cs="仿宋_GB2312"/>
          <w:color w:val="auto"/>
          <w:sz w:val="32"/>
          <w:szCs w:val="32"/>
        </w:rPr>
        <w:t>内</w:t>
      </w:r>
      <w:r>
        <w:rPr>
          <w:rFonts w:hint="eastAsia" w:ascii="仿宋_GB2312" w:hAnsi="仿宋_GB2312" w:eastAsia="仿宋_GB2312" w:cs="仿宋_GB2312"/>
          <w:color w:val="auto"/>
          <w:sz w:val="32"/>
          <w:szCs w:val="32"/>
          <w:lang w:val="en-US" w:eastAsia="zh-CN"/>
        </w:rPr>
        <w:t>或参选截止时间至少1日前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以编号补</w:t>
      </w:r>
      <w:r>
        <w:rPr>
          <w:rFonts w:hint="eastAsia" w:ascii="仿宋_GB2312" w:hAnsi="仿宋_GB2312" w:eastAsia="仿宋_GB2312" w:cs="仿宋_GB2312"/>
          <w:color w:val="auto"/>
          <w:sz w:val="32"/>
          <w:szCs w:val="32"/>
          <w:lang w:val="en-US" w:eastAsia="zh-CN"/>
        </w:rPr>
        <w:t>正通知书的</w:t>
      </w:r>
      <w:r>
        <w:rPr>
          <w:rFonts w:hint="eastAsia" w:ascii="仿宋_GB2312" w:hAnsi="仿宋_GB2312" w:eastAsia="仿宋_GB2312" w:cs="仿宋_GB2312"/>
          <w:color w:val="auto"/>
          <w:sz w:val="32"/>
          <w:szCs w:val="32"/>
        </w:rPr>
        <w:t>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在海南联合资产管理有限公司网站（http://www.hnlhzc.com/）公告补正</w:t>
      </w:r>
      <w:r>
        <w:rPr>
          <w:rFonts w:hint="eastAsia" w:ascii="仿宋_GB2312" w:hAnsi="仿宋_GB2312" w:eastAsia="仿宋_GB2312" w:cs="仿宋_GB2312"/>
          <w:color w:val="auto"/>
          <w:sz w:val="32"/>
          <w:szCs w:val="32"/>
        </w:rPr>
        <w:t>。</w:t>
      </w:r>
    </w:p>
    <w:p w14:paraId="766D7728">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w:t>
      </w:r>
      <w:r>
        <w:rPr>
          <w:rFonts w:hint="eastAsia" w:ascii="仿宋_GB2312" w:hAnsi="仿宋_GB2312" w:eastAsia="仿宋_GB2312" w:cs="仿宋_GB2312"/>
          <w:color w:val="auto"/>
          <w:sz w:val="32"/>
          <w:szCs w:val="32"/>
          <w:lang w:val="en-US" w:eastAsia="zh-CN"/>
        </w:rPr>
        <w:t xml:space="preserve"> 公司</w:t>
      </w:r>
      <w:r>
        <w:rPr>
          <w:rFonts w:hint="eastAsia" w:ascii="仿宋_GB2312" w:hAnsi="仿宋_GB2312" w:eastAsia="仿宋_GB2312" w:cs="仿宋_GB2312"/>
          <w:color w:val="auto"/>
          <w:sz w:val="32"/>
          <w:szCs w:val="32"/>
        </w:rPr>
        <w:t>以书面形式发出对</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文件的澄清或修改内容，均为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文件的组成部分，对</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具有</w:t>
      </w:r>
      <w:r>
        <w:rPr>
          <w:rFonts w:hint="eastAsia" w:ascii="仿宋_GB2312" w:hAnsi="仿宋_GB2312" w:eastAsia="仿宋_GB2312" w:cs="仿宋_GB2312"/>
          <w:color w:val="auto"/>
          <w:sz w:val="32"/>
          <w:szCs w:val="32"/>
        </w:rPr>
        <w:t>约束作用。</w:t>
      </w:r>
    </w:p>
    <w:p w14:paraId="5E158FC2">
      <w:pPr>
        <w:keepNext w:val="0"/>
        <w:keepLines w:val="0"/>
        <w:pageBreakBefore w:val="0"/>
        <w:widowControl/>
        <w:kinsoku/>
        <w:wordWrap/>
        <w:overflowPunct w:val="0"/>
        <w:topLinePunct w:val="0"/>
        <w:autoSpaceDE/>
        <w:autoSpaceDN/>
        <w:bidi w:val="0"/>
        <w:adjustRightInd/>
        <w:spacing w:beforeAutospacing="0" w:afterAutospacing="0" w:line="42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二、参选文件</w:t>
      </w:r>
    </w:p>
    <w:p w14:paraId="655311EB">
      <w:pPr>
        <w:keepNext w:val="0"/>
        <w:keepLines w:val="0"/>
        <w:pageBreakBefore w:val="0"/>
        <w:widowControl/>
        <w:numPr>
          <w:ilvl w:val="0"/>
          <w:numId w:val="8"/>
        </w:numPr>
        <w:kinsoku/>
        <w:wordWrap w:val="0"/>
        <w:overflowPunct w:val="0"/>
        <w:topLinePunct w:val="0"/>
        <w:autoSpaceDE/>
        <w:autoSpaceDN/>
        <w:bidi w:val="0"/>
        <w:adjustRightInd/>
        <w:snapToGrid/>
        <w:spacing w:line="42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参选文件的文字、度量衡单位</w:t>
      </w:r>
    </w:p>
    <w:p w14:paraId="75016FB6">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1.1</w:t>
      </w:r>
      <w:r>
        <w:rPr>
          <w:rFonts w:hint="eastAsia" w:ascii="仿宋_GB2312" w:hAnsi="仿宋_GB2312" w:eastAsia="仿宋_GB2312" w:cs="仿宋_GB2312"/>
          <w:b w:val="0"/>
          <w:bCs w:val="0"/>
          <w:color w:val="auto"/>
          <w:sz w:val="32"/>
          <w:szCs w:val="32"/>
          <w:lang w:val="en-US" w:eastAsia="zh-CN"/>
        </w:rPr>
        <w:t xml:space="preserve"> 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应当</w:t>
      </w:r>
      <w:r>
        <w:rPr>
          <w:rFonts w:hint="eastAsia" w:ascii="仿宋_GB2312" w:hAnsi="仿宋_GB2312" w:eastAsia="仿宋_GB2312" w:cs="仿宋_GB2312"/>
          <w:b w:val="0"/>
          <w:bCs w:val="0"/>
          <w:color w:val="auto"/>
          <w:sz w:val="32"/>
          <w:szCs w:val="32"/>
        </w:rPr>
        <w:t>使用</w:t>
      </w:r>
      <w:r>
        <w:rPr>
          <w:rFonts w:hint="eastAsia" w:ascii="仿宋_GB2312" w:hAnsi="仿宋_GB2312" w:eastAsia="仿宋_GB2312" w:cs="仿宋_GB2312"/>
          <w:b w:val="0"/>
          <w:bCs w:val="0"/>
          <w:color w:val="auto"/>
          <w:sz w:val="32"/>
          <w:szCs w:val="32"/>
          <w:lang w:val="en-US" w:eastAsia="zh-CN"/>
        </w:rPr>
        <w:t>中文；</w:t>
      </w:r>
      <w:r>
        <w:rPr>
          <w:rFonts w:hint="eastAsia" w:ascii="仿宋_GB2312" w:hAnsi="仿宋_GB2312" w:eastAsia="仿宋_GB2312" w:cs="仿宋_GB2312"/>
          <w:b w:val="0"/>
          <w:bCs w:val="0"/>
          <w:color w:val="auto"/>
          <w:sz w:val="32"/>
          <w:szCs w:val="32"/>
        </w:rPr>
        <w:t>对不同文字文本</w:t>
      </w:r>
      <w:r>
        <w:rPr>
          <w:rFonts w:hint="eastAsia" w:ascii="仿宋_GB2312" w:hAnsi="仿宋_GB2312" w:eastAsia="仿宋_GB2312" w:cs="仿宋_GB2312"/>
          <w:b w:val="0"/>
          <w:bCs w:val="0"/>
          <w:color w:val="auto"/>
          <w:sz w:val="32"/>
          <w:szCs w:val="32"/>
          <w:lang w:val="en-US" w:eastAsia="zh-CN"/>
        </w:rPr>
        <w:t>的参选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进行</w:t>
      </w:r>
      <w:r>
        <w:rPr>
          <w:rFonts w:hint="eastAsia" w:ascii="仿宋_GB2312" w:hAnsi="仿宋_GB2312" w:eastAsia="仿宋_GB2312" w:cs="仿宋_GB2312"/>
          <w:b w:val="0"/>
          <w:bCs w:val="0"/>
          <w:color w:val="auto"/>
          <w:sz w:val="32"/>
          <w:szCs w:val="32"/>
        </w:rPr>
        <w:t>解释</w:t>
      </w:r>
      <w:r>
        <w:rPr>
          <w:rFonts w:hint="eastAsia" w:ascii="仿宋_GB2312" w:hAnsi="仿宋_GB2312" w:eastAsia="仿宋_GB2312" w:cs="仿宋_GB2312"/>
          <w:b w:val="0"/>
          <w:bCs w:val="0"/>
          <w:color w:val="auto"/>
          <w:sz w:val="32"/>
          <w:szCs w:val="32"/>
          <w:lang w:val="en-US" w:eastAsia="zh-CN"/>
        </w:rPr>
        <w:t>产</w:t>
      </w:r>
      <w:r>
        <w:rPr>
          <w:rFonts w:hint="eastAsia" w:ascii="仿宋_GB2312" w:hAnsi="仿宋_GB2312" w:eastAsia="仿宋_GB2312" w:cs="仿宋_GB2312"/>
          <w:b w:val="0"/>
          <w:bCs w:val="0"/>
          <w:color w:val="auto"/>
          <w:sz w:val="32"/>
          <w:szCs w:val="32"/>
        </w:rPr>
        <w:t>生异议的，以中文文本为准。</w:t>
      </w:r>
    </w:p>
    <w:p w14:paraId="3E468319">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1.2 参选</w:t>
      </w:r>
      <w:r>
        <w:rPr>
          <w:rFonts w:hint="eastAsia" w:ascii="仿宋_GB2312" w:hAnsi="仿宋_GB2312" w:eastAsia="仿宋_GB2312" w:cs="仿宋_GB2312"/>
          <w:b w:val="0"/>
          <w:bCs w:val="0"/>
          <w:color w:val="auto"/>
          <w:sz w:val="32"/>
          <w:szCs w:val="32"/>
        </w:rPr>
        <w:t>文件中</w:t>
      </w:r>
      <w:r>
        <w:rPr>
          <w:rFonts w:hint="eastAsia" w:ascii="仿宋_GB2312" w:hAnsi="仿宋_GB2312" w:eastAsia="仿宋_GB2312" w:cs="仿宋_GB2312"/>
          <w:b w:val="0"/>
          <w:bCs w:val="0"/>
          <w:color w:val="auto"/>
          <w:sz w:val="32"/>
          <w:szCs w:val="32"/>
          <w:lang w:val="en-US" w:eastAsia="zh-CN"/>
        </w:rPr>
        <w:t>货币</w:t>
      </w:r>
      <w:r>
        <w:rPr>
          <w:rFonts w:hint="eastAsia" w:ascii="仿宋_GB2312" w:hAnsi="仿宋_GB2312" w:eastAsia="仿宋_GB2312" w:cs="仿宋_GB2312"/>
          <w:b w:val="0"/>
          <w:bCs w:val="0"/>
          <w:color w:val="auto"/>
          <w:sz w:val="32"/>
          <w:szCs w:val="32"/>
        </w:rPr>
        <w:t>大写金额和小写金额不一致的，以大写金额为准。</w:t>
      </w:r>
    </w:p>
    <w:p w14:paraId="4072FDC6">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3 </w:t>
      </w:r>
      <w:r>
        <w:rPr>
          <w:rFonts w:hint="eastAsia" w:ascii="仿宋_GB2312" w:hAnsi="仿宋_GB2312" w:eastAsia="仿宋_GB2312" w:cs="仿宋_GB2312"/>
          <w:b w:val="0"/>
          <w:bCs w:val="0"/>
          <w:color w:val="auto"/>
          <w:sz w:val="32"/>
          <w:szCs w:val="32"/>
          <w:lang w:val="en-US" w:eastAsia="zh-CN"/>
        </w:rPr>
        <w:t>参选</w:t>
      </w:r>
      <w:r>
        <w:rPr>
          <w:rFonts w:hint="eastAsia" w:ascii="仿宋_GB2312" w:hAnsi="仿宋_GB2312" w:eastAsia="仿宋_GB2312" w:cs="仿宋_GB2312"/>
          <w:color w:val="auto"/>
          <w:sz w:val="32"/>
          <w:szCs w:val="32"/>
        </w:rPr>
        <w:t>文件使用的度量衡单位，均</w:t>
      </w:r>
      <w:r>
        <w:rPr>
          <w:rFonts w:hint="eastAsia" w:ascii="仿宋_GB2312" w:hAnsi="仿宋_GB2312" w:eastAsia="仿宋_GB2312" w:cs="仿宋_GB2312"/>
          <w:color w:val="auto"/>
          <w:sz w:val="32"/>
          <w:szCs w:val="32"/>
          <w:lang w:val="en-US" w:eastAsia="zh-CN"/>
        </w:rPr>
        <w:t>应</w:t>
      </w:r>
      <w:r>
        <w:rPr>
          <w:rFonts w:hint="eastAsia" w:ascii="仿宋_GB2312" w:hAnsi="仿宋_GB2312" w:eastAsia="仿宋_GB2312" w:cs="仿宋_GB2312"/>
          <w:color w:val="auto"/>
          <w:sz w:val="32"/>
          <w:szCs w:val="32"/>
        </w:rPr>
        <w:t>采用中华人民共和国法定计量单位。</w:t>
      </w:r>
    </w:p>
    <w:p w14:paraId="1AC306FA">
      <w:pPr>
        <w:keepNext w:val="0"/>
        <w:keepLines w:val="0"/>
        <w:pageBreakBefore w:val="0"/>
        <w:widowControl/>
        <w:numPr>
          <w:ilvl w:val="0"/>
          <w:numId w:val="8"/>
        </w:numPr>
        <w:kinsoku/>
        <w:wordWrap w:val="0"/>
        <w:overflowPunct w:val="0"/>
        <w:topLinePunct w:val="0"/>
        <w:autoSpaceDE/>
        <w:autoSpaceDN/>
        <w:bidi w:val="0"/>
        <w:adjustRightInd/>
        <w:snapToGrid/>
        <w:spacing w:line="42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参选文件的组成</w:t>
      </w:r>
    </w:p>
    <w:p w14:paraId="55E53F06">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提供如下有关资料</w:t>
      </w:r>
      <w:r>
        <w:rPr>
          <w:rFonts w:hint="eastAsia" w:ascii="仿宋_GB2312" w:hAnsi="仿宋_GB2312" w:eastAsia="仿宋_GB2312" w:cs="仿宋_GB2312"/>
          <w:color w:val="auto"/>
          <w:sz w:val="32"/>
          <w:szCs w:val="32"/>
          <w:lang w:eastAsia="zh-CN"/>
        </w:rPr>
        <w:t>：</w:t>
      </w:r>
    </w:p>
    <w:p w14:paraId="0D87CCFD">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w:t>
      </w:r>
      <w:r>
        <w:rPr>
          <w:rFonts w:hint="eastAsia" w:ascii="仿宋_GB2312" w:hAnsi="仿宋_GB2312" w:eastAsia="仿宋_GB2312" w:cs="仿宋_GB2312"/>
          <w:color w:val="auto"/>
          <w:sz w:val="32"/>
          <w:szCs w:val="32"/>
          <w:lang w:val="en-US" w:eastAsia="zh-CN"/>
        </w:rPr>
        <w:t xml:space="preserve"> 资格审查</w:t>
      </w:r>
      <w:r>
        <w:rPr>
          <w:rFonts w:hint="eastAsia" w:ascii="仿宋_GB2312" w:hAnsi="仿宋_GB2312" w:eastAsia="仿宋_GB2312" w:cs="仿宋_GB2312"/>
          <w:color w:val="auto"/>
          <w:sz w:val="32"/>
          <w:szCs w:val="32"/>
        </w:rPr>
        <w:t>文件</w:t>
      </w:r>
    </w:p>
    <w:p w14:paraId="5BFCA69A">
      <w:pPr>
        <w:keepNext w:val="0"/>
        <w:keepLines w:val="0"/>
        <w:pageBreakBefore w:val="0"/>
        <w:widowControl/>
        <w:kinsoku/>
        <w:wordWrap/>
        <w:overflowPunct w:val="0"/>
        <w:topLinePunct w:val="0"/>
        <w:autoSpaceDE/>
        <w:autoSpaceDN/>
        <w:bidi w:val="0"/>
        <w:adjustRightInd/>
        <w:spacing w:beforeAutospacing="0" w:afterAutospacing="0" w:line="420" w:lineRule="exact"/>
        <w:ind w:left="0" w:right="0" w:firstLine="640" w:firstLineChars="200"/>
        <w:jc w:val="both"/>
        <w:textAlignment w:val="auto"/>
        <w:rPr>
          <w:rFonts w:hint="default" w:ascii="仿宋_GB2312" w:hAnsi="仿宋_GB2312" w:eastAsia="仿宋_GB2312" w:cs="仿宋_GB2312"/>
          <w:bCs/>
          <w:color w:val="auto"/>
          <w:sz w:val="32"/>
          <w:szCs w:val="32"/>
          <w:lang w:val="en-US" w:eastAsia="zh-CN"/>
        </w:rPr>
      </w:pPr>
      <w:r>
        <w:rPr>
          <w:rFonts w:hint="eastAsia" w:ascii="仿宋_GB2312" w:hAnsi="仿宋_GB2312" w:eastAsia="仿宋_GB2312" w:cs="仿宋_GB2312"/>
          <w:color w:val="auto"/>
          <w:sz w:val="32"/>
          <w:szCs w:val="32"/>
        </w:rPr>
        <w:t>按</w:t>
      </w:r>
      <w:r>
        <w:rPr>
          <w:rFonts w:hint="eastAsia" w:ascii="仿宋_GB2312" w:hAnsi="仿宋_GB2312" w:eastAsia="仿宋_GB2312" w:cs="仿宋_GB2312"/>
          <w:color w:val="auto"/>
          <w:sz w:val="32"/>
          <w:szCs w:val="32"/>
          <w:lang w:val="en-US" w:eastAsia="zh-CN"/>
        </w:rPr>
        <w:t>照比选文件</w:t>
      </w:r>
      <w:r>
        <w:rPr>
          <w:rFonts w:hint="eastAsia" w:ascii="仿宋_GB2312" w:hAnsi="仿宋_GB2312" w:eastAsia="仿宋_GB2312" w:cs="仿宋_GB2312"/>
          <w:bCs/>
          <w:color w:val="auto"/>
          <w:sz w:val="32"/>
          <w:szCs w:val="32"/>
          <w:lang w:val="en-US" w:eastAsia="zh-CN"/>
        </w:rPr>
        <w:t>项目要求提供相应材料</w:t>
      </w:r>
      <w:r>
        <w:rPr>
          <w:rFonts w:hint="eastAsia" w:ascii="仿宋_GB2312" w:hAnsi="仿宋_GB2312" w:eastAsia="仿宋_GB2312" w:cs="仿宋_GB2312"/>
          <w:color w:val="auto"/>
          <w:sz w:val="32"/>
          <w:szCs w:val="32"/>
        </w:rPr>
        <w:t>，并装订成册</w:t>
      </w:r>
      <w:r>
        <w:rPr>
          <w:rFonts w:hint="eastAsia" w:ascii="仿宋_GB2312" w:hAnsi="仿宋_GB2312" w:eastAsia="仿宋_GB2312" w:cs="仿宋_GB2312"/>
          <w:bCs/>
          <w:color w:val="auto"/>
          <w:sz w:val="32"/>
          <w:szCs w:val="32"/>
          <w:lang w:val="en-US" w:eastAsia="zh-CN"/>
        </w:rPr>
        <w:t>。</w:t>
      </w:r>
    </w:p>
    <w:p w14:paraId="5B48288E">
      <w:pPr>
        <w:keepNext w:val="0"/>
        <w:keepLines w:val="0"/>
        <w:pageBreakBefore w:val="0"/>
        <w:widowControl/>
        <w:kinsoku/>
        <w:wordWrap/>
        <w:overflowPunct w:val="0"/>
        <w:topLinePunct w:val="0"/>
        <w:autoSpaceDE/>
        <w:autoSpaceDN/>
        <w:bidi w:val="0"/>
        <w:adjustRightInd/>
        <w:spacing w:beforeAutospacing="0" w:afterAutospacing="0" w:line="420" w:lineRule="exact"/>
        <w:ind w:left="0" w:right="0" w:firstLine="640" w:firstLineChars="200"/>
        <w:jc w:val="both"/>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2.2</w:t>
      </w:r>
      <w:r>
        <w:rPr>
          <w:rFonts w:hint="eastAsia" w:ascii="仿宋_GB2312" w:hAnsi="仿宋_GB2312" w:eastAsia="仿宋_GB2312" w:cs="仿宋_GB2312"/>
          <w:bCs/>
          <w:color w:val="auto"/>
          <w:sz w:val="32"/>
          <w:szCs w:val="32"/>
          <w:lang w:val="en-US" w:eastAsia="zh-CN"/>
        </w:rPr>
        <w:t xml:space="preserve"> </w:t>
      </w:r>
      <w:r>
        <w:rPr>
          <w:rFonts w:hint="eastAsia" w:ascii="仿宋_GB2312" w:hAnsi="仿宋_GB2312" w:eastAsia="仿宋_GB2312" w:cs="仿宋_GB2312"/>
          <w:bCs/>
          <w:color w:val="auto"/>
          <w:sz w:val="32"/>
          <w:szCs w:val="32"/>
        </w:rPr>
        <w:t>综合评审文件</w:t>
      </w:r>
    </w:p>
    <w:p w14:paraId="75FF6C35">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w:t>
      </w:r>
      <w:r>
        <w:rPr>
          <w:rFonts w:hint="eastAsia" w:ascii="仿宋_GB2312" w:hAnsi="仿宋_GB2312" w:eastAsia="仿宋_GB2312" w:cs="仿宋_GB2312"/>
          <w:color w:val="auto"/>
          <w:sz w:val="32"/>
          <w:szCs w:val="32"/>
          <w:lang w:val="en-US" w:eastAsia="zh-CN"/>
        </w:rPr>
        <w:t>照比选文件评审</w:t>
      </w:r>
      <w:r>
        <w:rPr>
          <w:rFonts w:hint="eastAsia" w:ascii="仿宋_GB2312" w:hAnsi="仿宋_GB2312" w:eastAsia="仿宋_GB2312" w:cs="仿宋_GB2312"/>
          <w:color w:val="auto"/>
          <w:sz w:val="32"/>
          <w:szCs w:val="32"/>
        </w:rPr>
        <w:t>要求提供相应资料，并装订成册。</w:t>
      </w:r>
    </w:p>
    <w:p w14:paraId="63B07944">
      <w:pPr>
        <w:keepNext w:val="0"/>
        <w:keepLines w:val="0"/>
        <w:pageBreakBefore w:val="0"/>
        <w:widowControl/>
        <w:numPr>
          <w:ilvl w:val="0"/>
          <w:numId w:val="8"/>
        </w:numPr>
        <w:kinsoku/>
        <w:wordWrap w:val="0"/>
        <w:overflowPunct w:val="0"/>
        <w:topLinePunct w:val="0"/>
        <w:autoSpaceDE/>
        <w:autoSpaceDN/>
        <w:bidi w:val="0"/>
        <w:adjustRightInd/>
        <w:snapToGrid/>
        <w:spacing w:line="42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参选文件的格式要求</w:t>
      </w:r>
    </w:p>
    <w:p w14:paraId="66505CF1">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3.1 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形式、份数</w:t>
      </w:r>
    </w:p>
    <w:p w14:paraId="3929F1C4">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应当分别提供电子版和纸质版。纸质版材料应提供正本壹</w:t>
      </w:r>
      <w:r>
        <w:rPr>
          <w:rFonts w:hint="eastAsia" w:ascii="仿宋_GB2312" w:hAnsi="仿宋_GB2312" w:eastAsia="仿宋_GB2312" w:cs="仿宋_GB2312"/>
          <w:color w:val="auto"/>
          <w:sz w:val="32"/>
          <w:szCs w:val="32"/>
        </w:rPr>
        <w:t>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副本贰份</w:t>
      </w:r>
      <w:r>
        <w:rPr>
          <w:rFonts w:hint="eastAsia" w:ascii="仿宋_GB2312" w:hAnsi="仿宋_GB2312" w:eastAsia="仿宋_GB2312" w:cs="仿宋_GB2312"/>
          <w:color w:val="auto"/>
          <w:sz w:val="32"/>
          <w:szCs w:val="32"/>
        </w:rPr>
        <w:t>。</w:t>
      </w:r>
    </w:p>
    <w:p w14:paraId="04853A37">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 参选</w:t>
      </w:r>
      <w:r>
        <w:rPr>
          <w:rFonts w:hint="eastAsia" w:ascii="仿宋_GB2312" w:hAnsi="仿宋_GB2312" w:eastAsia="仿宋_GB2312" w:cs="仿宋_GB2312"/>
          <w:color w:val="auto"/>
          <w:sz w:val="32"/>
          <w:szCs w:val="32"/>
        </w:rPr>
        <w:t>文件装订、密封</w:t>
      </w:r>
    </w:p>
    <w:p w14:paraId="7CA0A683">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4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（1）参选</w:t>
      </w:r>
      <w:r>
        <w:rPr>
          <w:rFonts w:hint="eastAsia" w:ascii="仿宋_GB2312" w:hAnsi="仿宋_GB2312" w:eastAsia="仿宋_GB2312" w:cs="仿宋_GB2312"/>
          <w:color w:val="auto"/>
          <w:sz w:val="32"/>
          <w:szCs w:val="32"/>
        </w:rPr>
        <w:t>文件应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统一</w:t>
      </w:r>
      <w:r>
        <w:rPr>
          <w:rFonts w:hint="eastAsia" w:ascii="仿宋_GB2312" w:hAnsi="仿宋_GB2312" w:eastAsia="仿宋_GB2312" w:cs="仿宋_GB2312"/>
          <w:color w:val="auto"/>
          <w:sz w:val="32"/>
          <w:szCs w:val="32"/>
          <w:lang w:val="en-US" w:eastAsia="zh-CN"/>
        </w:rPr>
        <w:t>采</w:t>
      </w:r>
      <w:r>
        <w:rPr>
          <w:rFonts w:hint="eastAsia" w:ascii="仿宋_GB2312" w:hAnsi="仿宋_GB2312" w:eastAsia="仿宋_GB2312" w:cs="仿宋_GB2312"/>
          <w:color w:val="auto"/>
          <w:sz w:val="32"/>
          <w:szCs w:val="32"/>
        </w:rPr>
        <w:t>用标准A4纸（图纸除外）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装订成册，装入密封的信封或包装，在信封或包装上</w:t>
      </w:r>
      <w:r>
        <w:rPr>
          <w:rFonts w:hint="eastAsia" w:ascii="仿宋_GB2312" w:hAnsi="仿宋_GB2312" w:eastAsia="仿宋_GB2312" w:cs="仿宋_GB2312"/>
          <w:color w:val="auto"/>
          <w:sz w:val="32"/>
          <w:szCs w:val="32"/>
          <w:lang w:val="en-US" w:eastAsia="zh-CN"/>
        </w:rPr>
        <w:t>粘贴封面，并</w:t>
      </w:r>
      <w:r>
        <w:rPr>
          <w:rFonts w:hint="eastAsia" w:ascii="仿宋_GB2312" w:hAnsi="仿宋_GB2312" w:eastAsia="仿宋_GB2312" w:cs="仿宋_GB2312"/>
          <w:color w:val="auto"/>
          <w:sz w:val="32"/>
          <w:szCs w:val="32"/>
          <w:lang w:eastAsia="zh-CN"/>
        </w:rPr>
        <w:t>标明项目名称、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名称、联系地址</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方式、</w:t>
      </w:r>
      <w:r>
        <w:rPr>
          <w:rFonts w:hint="eastAsia" w:ascii="仿宋_GB2312" w:hAnsi="仿宋_GB2312" w:eastAsia="仿宋_GB2312" w:cs="仿宋_GB2312"/>
          <w:color w:val="auto"/>
          <w:sz w:val="32"/>
          <w:szCs w:val="32"/>
          <w:lang w:val="en-US" w:eastAsia="zh-CN"/>
        </w:rPr>
        <w:t>参选日期</w:t>
      </w:r>
      <w:r>
        <w:rPr>
          <w:rFonts w:hint="eastAsia" w:ascii="仿宋_GB2312" w:hAnsi="仿宋_GB2312" w:eastAsia="仿宋_GB2312" w:cs="仿宋_GB2312"/>
          <w:color w:val="auto"/>
          <w:sz w:val="32"/>
          <w:szCs w:val="32"/>
          <w:lang w:eastAsia="zh-CN"/>
        </w:rPr>
        <w:t>，封口处加盖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公章。</w:t>
      </w:r>
    </w:p>
    <w:p w14:paraId="4F811E8C">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文件正本应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包括有</w:t>
      </w:r>
      <w:r>
        <w:rPr>
          <w:rFonts w:hint="eastAsia" w:ascii="仿宋_GB2312" w:hAnsi="仿宋_GB2312" w:eastAsia="仿宋_GB2312" w:cs="仿宋_GB2312"/>
          <w:color w:val="auto"/>
          <w:sz w:val="32"/>
          <w:szCs w:val="32"/>
          <w:lang w:val="en-US" w:eastAsia="zh-CN"/>
        </w:rPr>
        <w:t>比选文件</w:t>
      </w:r>
      <w:r>
        <w:rPr>
          <w:rFonts w:hint="eastAsia" w:ascii="仿宋_GB2312" w:hAnsi="仿宋_GB2312" w:eastAsia="仿宋_GB2312" w:cs="仿宋_GB2312"/>
          <w:color w:val="auto"/>
          <w:sz w:val="32"/>
          <w:szCs w:val="32"/>
        </w:rPr>
        <w:t>规定的全部文件以及</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人认为必要的文件。</w:t>
      </w:r>
      <w:r>
        <w:rPr>
          <w:rFonts w:hint="eastAsia" w:ascii="仿宋_GB2312" w:hAnsi="仿宋_GB2312" w:eastAsia="仿宋_GB2312" w:cs="仿宋_GB2312"/>
          <w:color w:val="auto"/>
          <w:sz w:val="32"/>
          <w:szCs w:val="32"/>
          <w:lang w:val="en-US" w:eastAsia="zh-CN"/>
        </w:rPr>
        <w:t>参选文件正文部分不能有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正文外</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页头、页尾、页边</w:t>
      </w:r>
      <w:r>
        <w:rPr>
          <w:rFonts w:hint="eastAsia" w:ascii="仿宋_GB2312" w:hAnsi="仿宋_GB2312" w:eastAsia="仿宋_GB2312" w:cs="仿宋_GB2312"/>
          <w:color w:val="auto"/>
          <w:sz w:val="32"/>
          <w:szCs w:val="32"/>
          <w:lang w:val="en-US" w:eastAsia="zh-CN"/>
        </w:rPr>
        <w:t>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w:t>
      </w:r>
    </w:p>
    <w:p w14:paraId="1E4DD743">
      <w:pPr>
        <w:keepNext w:val="0"/>
        <w:keepLines w:val="0"/>
        <w:pageBreakBefore w:val="0"/>
        <w:widowControl/>
        <w:numPr>
          <w:ilvl w:val="0"/>
          <w:numId w:val="8"/>
        </w:numPr>
        <w:kinsoku/>
        <w:wordWrap w:val="0"/>
        <w:overflowPunct w:val="0"/>
        <w:topLinePunct w:val="0"/>
        <w:autoSpaceDE/>
        <w:autoSpaceDN/>
        <w:bidi w:val="0"/>
        <w:adjustRightInd/>
        <w:snapToGrid/>
        <w:spacing w:line="42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参选文件的澄清和补正</w:t>
      </w:r>
    </w:p>
    <w:p w14:paraId="7F31B2A1">
      <w:pPr>
        <w:keepNext w:val="0"/>
        <w:keepLines w:val="0"/>
        <w:pageBreakBefore w:val="0"/>
        <w:widowControl/>
        <w:kinsoku/>
        <w:wordWrap/>
        <w:overflowPunct w:val="0"/>
        <w:topLinePunct w:val="0"/>
        <w:autoSpaceDE/>
        <w:autoSpaceDN/>
        <w:bidi w:val="0"/>
        <w:adjustRightInd/>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在评审过程中，</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可以书面形式要求</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人对所提交的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文件中不明确的内容进行书面澄清或说明，或者对细微偏差进行补正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不接受</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人主动提出的澄清、说明或补正。</w:t>
      </w:r>
    </w:p>
    <w:p w14:paraId="1C1A2822">
      <w:pPr>
        <w:keepNext w:val="0"/>
        <w:keepLines w:val="0"/>
        <w:pageBreakBefore w:val="0"/>
        <w:widowControl/>
        <w:kinsoku/>
        <w:wordWrap/>
        <w:overflowPunct w:val="0"/>
        <w:topLinePunct w:val="0"/>
        <w:autoSpaceDE/>
        <w:autoSpaceDN/>
        <w:bidi w:val="0"/>
        <w:adjustRightInd/>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澄清、说明和补正不得改变</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文件的实质性内容（算术性错误修正的除外）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人的书面澄清、说明和补正属于</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文件的组成部分。</w:t>
      </w:r>
    </w:p>
    <w:p w14:paraId="3632EED2">
      <w:pPr>
        <w:keepNext w:val="0"/>
        <w:keepLines w:val="0"/>
        <w:pageBreakBefore w:val="0"/>
        <w:widowControl/>
        <w:numPr>
          <w:ilvl w:val="0"/>
          <w:numId w:val="8"/>
        </w:numPr>
        <w:kinsoku/>
        <w:wordWrap w:val="0"/>
        <w:overflowPunct w:val="0"/>
        <w:topLinePunct w:val="0"/>
        <w:autoSpaceDE/>
        <w:autoSpaceDN/>
        <w:bidi w:val="0"/>
        <w:adjustRightInd/>
        <w:snapToGrid/>
        <w:spacing w:line="42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其他须知</w:t>
      </w:r>
    </w:p>
    <w:p w14:paraId="40E8EC25">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5.1 参选人</w:t>
      </w:r>
      <w:r>
        <w:rPr>
          <w:rFonts w:hint="eastAsia" w:ascii="仿宋_GB2312" w:hAnsi="仿宋_GB2312" w:eastAsia="仿宋_GB2312" w:cs="仿宋_GB2312"/>
          <w:color w:val="auto"/>
          <w:sz w:val="32"/>
          <w:szCs w:val="32"/>
        </w:rPr>
        <w:t>应本着长期合作、专业服务的精神，以</w:t>
      </w:r>
      <w:r>
        <w:rPr>
          <w:rFonts w:hint="eastAsia" w:ascii="仿宋_GB2312" w:hAnsi="仿宋_GB2312" w:eastAsia="仿宋_GB2312" w:cs="仿宋_GB2312"/>
          <w:color w:val="auto"/>
          <w:sz w:val="32"/>
          <w:szCs w:val="32"/>
          <w:lang w:val="en-US" w:eastAsia="zh-CN"/>
        </w:rPr>
        <w:t>合适</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服务报价参选</w:t>
      </w:r>
      <w:r>
        <w:rPr>
          <w:rFonts w:hint="eastAsia" w:ascii="仿宋_GB2312" w:hAnsi="仿宋_GB2312" w:eastAsia="仿宋_GB2312" w:cs="仿宋_GB2312"/>
          <w:color w:val="auto"/>
          <w:sz w:val="32"/>
          <w:szCs w:val="32"/>
        </w:rPr>
        <w:t>，并严格保证</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color w:val="auto"/>
          <w:sz w:val="32"/>
          <w:szCs w:val="32"/>
        </w:rPr>
        <w:t>质量。</w:t>
      </w:r>
    </w:p>
    <w:p w14:paraId="05049C3C">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5.2 参选人</w:t>
      </w:r>
      <w:r>
        <w:rPr>
          <w:rFonts w:hint="eastAsia" w:ascii="仿宋_GB2312" w:hAnsi="仿宋_GB2312" w:eastAsia="仿宋_GB2312" w:cs="仿宋_GB2312"/>
          <w:color w:val="auto"/>
          <w:sz w:val="32"/>
          <w:szCs w:val="32"/>
        </w:rPr>
        <w:t>不允许提交两份或两份以上不同实质内容的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提交</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文件均不退还，由</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存档备</w:t>
      </w:r>
      <w:r>
        <w:rPr>
          <w:rFonts w:hint="eastAsia" w:ascii="仿宋_GB2312" w:hAnsi="仿宋_GB2312" w:eastAsia="仿宋_GB2312" w:cs="仿宋_GB2312"/>
          <w:color w:val="auto"/>
          <w:sz w:val="32"/>
          <w:szCs w:val="32"/>
          <w:lang w:val="en-US" w:eastAsia="zh-CN"/>
        </w:rPr>
        <w:t>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将对</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资料予以保密。</w:t>
      </w:r>
    </w:p>
    <w:p w14:paraId="5F0245A0">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5.3 参选人应对其提交的参选文件的真实性、合法性、完整性负责，若有不实，作废选处理或解除服务合同。</w:t>
      </w:r>
    </w:p>
    <w:p w14:paraId="0A5B208E">
      <w:pPr>
        <w:keepNext w:val="0"/>
        <w:keepLines w:val="0"/>
        <w:pageBreakBefore w:val="0"/>
        <w:widowControl/>
        <w:kinsoku/>
        <w:wordWrap/>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5.4 参选人</w:t>
      </w:r>
      <w:r>
        <w:rPr>
          <w:rFonts w:hint="eastAsia" w:ascii="仿宋_GB2312" w:hAnsi="仿宋_GB2312" w:eastAsia="仿宋_GB2312" w:cs="仿宋_GB2312"/>
          <w:color w:val="auto"/>
          <w:sz w:val="32"/>
          <w:szCs w:val="32"/>
        </w:rPr>
        <w:t>及指派律师的情况和专业水平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与</w:t>
      </w:r>
      <w:r>
        <w:rPr>
          <w:rFonts w:hint="eastAsia" w:ascii="仿宋_GB2312" w:hAnsi="仿宋_GB2312" w:eastAsia="仿宋_GB2312" w:cs="仿宋_GB2312"/>
          <w:color w:val="auto"/>
          <w:sz w:val="32"/>
          <w:szCs w:val="32"/>
          <w:lang w:val="en-US" w:eastAsia="zh-CN"/>
        </w:rPr>
        <w:t>参选文件</w:t>
      </w:r>
      <w:r>
        <w:rPr>
          <w:rFonts w:hint="eastAsia" w:ascii="仿宋_GB2312" w:hAnsi="仿宋_GB2312" w:eastAsia="仿宋_GB2312" w:cs="仿宋_GB2312"/>
          <w:color w:val="auto"/>
          <w:sz w:val="32"/>
          <w:szCs w:val="32"/>
        </w:rPr>
        <w:t>所述</w:t>
      </w:r>
      <w:r>
        <w:rPr>
          <w:rFonts w:hint="eastAsia" w:ascii="仿宋_GB2312" w:hAnsi="仿宋_GB2312" w:eastAsia="仿宋_GB2312" w:cs="仿宋_GB2312"/>
          <w:color w:val="auto"/>
          <w:sz w:val="32"/>
          <w:szCs w:val="32"/>
          <w:lang w:val="en-US" w:eastAsia="zh-CN"/>
        </w:rPr>
        <w:t>严重</w:t>
      </w:r>
      <w:r>
        <w:rPr>
          <w:rFonts w:hint="eastAsia" w:ascii="仿宋_GB2312" w:hAnsi="仿宋_GB2312" w:eastAsia="仿宋_GB2312" w:cs="仿宋_GB2312"/>
          <w:color w:val="auto"/>
          <w:sz w:val="32"/>
          <w:szCs w:val="32"/>
        </w:rPr>
        <w:t>不符</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及指派律师的实际从业能力无法</w:t>
      </w:r>
      <w:r>
        <w:rPr>
          <w:rFonts w:hint="eastAsia" w:ascii="仿宋_GB2312" w:hAnsi="仿宋_GB2312" w:eastAsia="仿宋_GB2312" w:cs="仿宋_GB2312"/>
          <w:color w:val="auto"/>
          <w:sz w:val="32"/>
          <w:szCs w:val="32"/>
          <w:lang w:val="en-US" w:eastAsia="zh-CN"/>
        </w:rPr>
        <w:t>满足公司基本</w:t>
      </w:r>
      <w:r>
        <w:rPr>
          <w:rFonts w:hint="eastAsia" w:ascii="仿宋_GB2312" w:hAnsi="仿宋_GB2312" w:eastAsia="仿宋_GB2312" w:cs="仿宋_GB2312"/>
          <w:color w:val="auto"/>
          <w:sz w:val="32"/>
          <w:szCs w:val="32"/>
        </w:rPr>
        <w:t>要求的，或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及指派律师的</w:t>
      </w:r>
      <w:r>
        <w:rPr>
          <w:rFonts w:hint="eastAsia" w:ascii="仿宋_GB2312" w:hAnsi="仿宋_GB2312" w:eastAsia="仿宋_GB2312" w:cs="仿宋_GB2312"/>
          <w:color w:val="auto"/>
          <w:sz w:val="32"/>
          <w:szCs w:val="32"/>
          <w:lang w:val="en-US" w:eastAsia="zh-CN"/>
        </w:rPr>
        <w:t>重大</w:t>
      </w:r>
      <w:r>
        <w:rPr>
          <w:rFonts w:hint="eastAsia" w:ascii="仿宋_GB2312" w:hAnsi="仿宋_GB2312" w:eastAsia="仿宋_GB2312" w:cs="仿宋_GB2312"/>
          <w:color w:val="auto"/>
          <w:sz w:val="32"/>
          <w:szCs w:val="32"/>
        </w:rPr>
        <w:t>过错给</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带来损失的，</w:t>
      </w:r>
      <w:r>
        <w:rPr>
          <w:rFonts w:hint="eastAsia" w:ascii="仿宋_GB2312" w:hAnsi="仿宋_GB2312" w:eastAsia="仿宋_GB2312" w:cs="仿宋_GB2312"/>
          <w:color w:val="auto"/>
          <w:sz w:val="32"/>
          <w:szCs w:val="32"/>
          <w:lang w:val="en-US" w:eastAsia="zh-CN"/>
        </w:rPr>
        <w:t>公司有权作废选处理或解除服务合同</w:t>
      </w:r>
      <w:r>
        <w:rPr>
          <w:rFonts w:hint="eastAsia" w:ascii="仿宋_GB2312" w:hAnsi="仿宋_GB2312" w:eastAsia="仿宋_GB2312" w:cs="仿宋_GB2312"/>
          <w:color w:val="auto"/>
          <w:sz w:val="32"/>
          <w:szCs w:val="32"/>
        </w:rPr>
        <w:t>。</w:t>
      </w:r>
    </w:p>
    <w:p w14:paraId="503D17D7">
      <w:pPr>
        <w:rPr>
          <w:rFonts w:hint="eastAsia" w:ascii="宋体" w:hAnsi="宋体"/>
          <w:color w:val="auto"/>
          <w:sz w:val="36"/>
          <w:szCs w:val="36"/>
        </w:rPr>
      </w:pPr>
      <w:r>
        <w:rPr>
          <w:rFonts w:hint="eastAsia" w:ascii="宋体" w:hAnsi="宋体"/>
          <w:color w:val="auto"/>
          <w:sz w:val="36"/>
          <w:szCs w:val="36"/>
        </w:rPr>
        <w:br w:type="page"/>
      </w:r>
    </w:p>
    <w:p w14:paraId="2CC0A23F">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default" w:ascii="黑体" w:hAnsi="黑体" w:eastAsia="黑体" w:cs="黑体"/>
          <w:b w:val="0"/>
          <w:bCs w:val="0"/>
          <w:color w:val="auto"/>
          <w:lang w:val="en-US" w:eastAsia="zh-CN"/>
        </w:rPr>
      </w:pPr>
      <w:bookmarkStart w:id="14" w:name="_Toc20971"/>
      <w:r>
        <w:rPr>
          <w:rFonts w:hint="eastAsia" w:ascii="黑体" w:hAnsi="黑体" w:eastAsia="黑体" w:cs="黑体"/>
          <w:b w:val="0"/>
          <w:bCs w:val="0"/>
          <w:color w:val="auto"/>
          <w:lang w:val="en-US" w:eastAsia="zh-CN"/>
        </w:rPr>
        <w:t>第三章 评</w:t>
      </w:r>
      <w:bookmarkEnd w:id="11"/>
      <w:bookmarkEnd w:id="12"/>
      <w:r>
        <w:rPr>
          <w:rFonts w:hint="eastAsia" w:ascii="黑体" w:hAnsi="黑体" w:eastAsia="黑体" w:cs="黑体"/>
          <w:b w:val="0"/>
          <w:bCs w:val="0"/>
          <w:color w:val="auto"/>
          <w:lang w:val="en-US" w:eastAsia="zh-CN"/>
        </w:rPr>
        <w:t>审办法</w:t>
      </w:r>
      <w:bookmarkEnd w:id="14"/>
    </w:p>
    <w:p w14:paraId="4962B306">
      <w:pPr>
        <w:keepNext w:val="0"/>
        <w:keepLines w:val="0"/>
        <w:pageBreakBefore w:val="0"/>
        <w:widowControl w:val="0"/>
        <w:kinsoku/>
        <w:wordWrap w:val="0"/>
        <w:overflowPunct w:val="0"/>
        <w:topLinePunct w:val="0"/>
        <w:autoSpaceDE/>
        <w:autoSpaceDN/>
        <w:bidi w:val="0"/>
        <w:adjustRightInd/>
        <w:spacing w:line="560" w:lineRule="exact"/>
        <w:ind w:left="0" w:firstLine="0" w:firstLineChars="0"/>
        <w:textAlignment w:val="auto"/>
        <w:rPr>
          <w:rFonts w:hint="eastAsia" w:ascii="仿宋_GB2312" w:hAnsi="仿宋_GB2312" w:eastAsia="仿宋_GB2312" w:cs="仿宋_GB2312"/>
          <w:color w:val="auto"/>
          <w:sz w:val="32"/>
          <w:szCs w:val="32"/>
        </w:rPr>
      </w:pPr>
      <w:bookmarkStart w:id="15" w:name="_Toc11876"/>
      <w:bookmarkStart w:id="16" w:name="_Toc81784911"/>
    </w:p>
    <w:p w14:paraId="46E61492">
      <w:pPr>
        <w:keepNext w:val="0"/>
        <w:keepLines w:val="0"/>
        <w:pageBreakBefore w:val="0"/>
        <w:widowControl/>
        <w:kinsoku/>
        <w:wordWrap w:val="0"/>
        <w:overflowPunct w:val="0"/>
        <w:topLinePunct w:val="0"/>
        <w:autoSpaceDE/>
        <w:autoSpaceDN/>
        <w:bidi w:val="0"/>
        <w:adjustRightInd/>
        <w:spacing w:beforeAutospacing="0" w:afterAutospacing="0" w:line="42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评</w:t>
      </w:r>
      <w:r>
        <w:rPr>
          <w:rFonts w:hint="eastAsia" w:ascii="黑体" w:hAnsi="黑体" w:eastAsia="黑体" w:cs="黑体"/>
          <w:b w:val="0"/>
          <w:bCs w:val="0"/>
          <w:color w:val="auto"/>
          <w:sz w:val="32"/>
          <w:szCs w:val="32"/>
          <w:lang w:val="en-US" w:eastAsia="zh-CN"/>
        </w:rPr>
        <w:t>审须知</w:t>
      </w:r>
    </w:p>
    <w:p w14:paraId="72169805">
      <w:pPr>
        <w:keepNext w:val="0"/>
        <w:keepLines w:val="0"/>
        <w:pageBreakBefore w:val="0"/>
        <w:widowControl/>
        <w:kinsoku/>
        <w:wordWrap w:val="0"/>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 本项目公司</w:t>
      </w:r>
      <w:r>
        <w:rPr>
          <w:rFonts w:hint="eastAsia" w:ascii="仿宋_GB2312" w:hAnsi="仿宋_GB2312" w:eastAsia="仿宋_GB2312" w:cs="仿宋_GB2312"/>
          <w:color w:val="auto"/>
          <w:sz w:val="32"/>
          <w:szCs w:val="32"/>
        </w:rPr>
        <w:t>自行组建</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进行</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采用现场评审方式进行评审</w:t>
      </w:r>
      <w:r>
        <w:rPr>
          <w:rFonts w:hint="eastAsia" w:ascii="仿宋_GB2312" w:hAnsi="仿宋_GB2312" w:eastAsia="仿宋_GB2312" w:cs="仿宋_GB2312"/>
          <w:color w:val="auto"/>
          <w:sz w:val="32"/>
          <w:szCs w:val="32"/>
        </w:rPr>
        <w:t>。</w:t>
      </w:r>
    </w:p>
    <w:p w14:paraId="4C95DE4D">
      <w:pPr>
        <w:keepNext w:val="0"/>
        <w:keepLines w:val="0"/>
        <w:pageBreakBefore w:val="0"/>
        <w:widowControl/>
        <w:kinsoku/>
        <w:wordWrap w:val="0"/>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 xml:space="preserve"> 本项目评审小组根据比选文件要求，对参选人的资格条件进行审查，只有通过资格审查才能进入综合评审。</w:t>
      </w:r>
    </w:p>
    <w:p w14:paraId="4882C33E">
      <w:pPr>
        <w:keepNext w:val="0"/>
        <w:keepLines w:val="0"/>
        <w:pageBreakBefore w:val="0"/>
        <w:widowControl/>
        <w:kinsoku/>
        <w:wordWrap w:val="0"/>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1.3 </w:t>
      </w:r>
      <w:r>
        <w:rPr>
          <w:rFonts w:hint="eastAsia" w:ascii="仿宋_GB2312" w:hAnsi="仿宋_GB2312" w:eastAsia="仿宋_GB2312" w:cs="仿宋_GB2312"/>
          <w:color w:val="auto"/>
          <w:sz w:val="32"/>
          <w:szCs w:val="32"/>
        </w:rPr>
        <w:t>本次</w:t>
      </w:r>
      <w:r>
        <w:rPr>
          <w:rFonts w:hint="eastAsia" w:ascii="仿宋_GB2312" w:hAnsi="仿宋_GB2312" w:eastAsia="仿宋_GB2312" w:cs="仿宋_GB2312"/>
          <w:color w:val="auto"/>
          <w:sz w:val="32"/>
          <w:szCs w:val="32"/>
          <w:lang w:val="en-US" w:eastAsia="zh-CN"/>
        </w:rPr>
        <w:t>采购项目</w:t>
      </w:r>
      <w:r>
        <w:rPr>
          <w:rFonts w:hint="eastAsia" w:ascii="仿宋_GB2312" w:hAnsi="仿宋_GB2312" w:eastAsia="仿宋_GB2312" w:cs="仿宋_GB2312"/>
          <w:color w:val="auto"/>
          <w:sz w:val="32"/>
          <w:szCs w:val="32"/>
        </w:rPr>
        <w:t>采用综合评分法</w:t>
      </w:r>
      <w:r>
        <w:rPr>
          <w:rFonts w:hint="eastAsia" w:ascii="仿宋_GB2312" w:hAnsi="仿宋_GB2312" w:eastAsia="仿宋_GB2312" w:cs="仿宋_GB2312"/>
          <w:color w:val="auto"/>
          <w:sz w:val="32"/>
          <w:szCs w:val="32"/>
          <w:lang w:val="en-US" w:eastAsia="zh-CN"/>
        </w:rPr>
        <w:t>（满分100分），评审小组根据比选文件量化因素、分值要求，对参选文件的内容进行综合评价打分并计算出综合得分。</w:t>
      </w:r>
    </w:p>
    <w:p w14:paraId="2D0AD689">
      <w:pPr>
        <w:keepNext w:val="0"/>
        <w:keepLines w:val="0"/>
        <w:pageBreakBefore w:val="0"/>
        <w:widowControl/>
        <w:kinsoku/>
        <w:wordWrap w:val="0"/>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 本项目评审小组进行</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前</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应当</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文件进行检查，确定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密封</w:t>
      </w:r>
      <w:r>
        <w:rPr>
          <w:rFonts w:hint="eastAsia" w:ascii="仿宋_GB2312" w:hAnsi="仿宋_GB2312" w:eastAsia="仿宋_GB2312" w:cs="仿宋_GB2312"/>
          <w:color w:val="auto"/>
          <w:sz w:val="32"/>
          <w:szCs w:val="32"/>
        </w:rPr>
        <w:t>完整，经确认无误后，确定为有效</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p>
    <w:p w14:paraId="29BACC2B">
      <w:pPr>
        <w:keepNext w:val="0"/>
        <w:keepLines w:val="0"/>
        <w:pageBreakBefore w:val="0"/>
        <w:widowControl/>
        <w:kinsoku/>
        <w:wordWrap w:val="0"/>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1.5 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以他人的名义</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、串通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、以行贿手段谋取中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或者以其他弄虚作假方式</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的，应当否决该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w:t>
      </w:r>
    </w:p>
    <w:p w14:paraId="6005FE9B">
      <w:pPr>
        <w:keepNext w:val="0"/>
        <w:keepLines w:val="0"/>
        <w:pageBreakBefore w:val="0"/>
        <w:widowControl/>
        <w:kinsoku/>
        <w:wordWrap w:val="0"/>
        <w:overflowPunct w:val="0"/>
        <w:topLinePunct w:val="0"/>
        <w:autoSpaceDE/>
        <w:autoSpaceDN/>
        <w:bidi w:val="0"/>
        <w:adjustRightInd/>
        <w:snapToGrid w:val="0"/>
        <w:spacing w:beforeAutospacing="0" w:afterAutospacing="0" w:line="42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 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参选人的</w:t>
      </w:r>
      <w:r>
        <w:rPr>
          <w:rFonts w:hint="default" w:ascii="仿宋_GB2312" w:hAnsi="仿宋_GB2312" w:eastAsia="仿宋_GB2312" w:cs="仿宋_GB2312"/>
          <w:color w:val="auto"/>
          <w:sz w:val="32"/>
          <w:szCs w:val="32"/>
          <w:lang w:val="en-US" w:eastAsia="zh-CN"/>
        </w:rPr>
        <w:t>资格条件不符合国家有关规定和</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w:t>
      </w:r>
      <w:r>
        <w:rPr>
          <w:rFonts w:hint="eastAsia" w:ascii="仿宋_GB2312" w:hAnsi="仿宋_GB2312" w:eastAsia="仿宋_GB2312" w:cs="仿宋_GB2312"/>
          <w:color w:val="auto"/>
          <w:sz w:val="32"/>
          <w:szCs w:val="32"/>
          <w:lang w:val="en-US" w:eastAsia="zh-CN"/>
        </w:rPr>
        <w:t>规定和</w:t>
      </w:r>
      <w:r>
        <w:rPr>
          <w:rFonts w:hint="default" w:ascii="仿宋_GB2312" w:hAnsi="仿宋_GB2312" w:eastAsia="仿宋_GB2312" w:cs="仿宋_GB2312"/>
          <w:color w:val="auto"/>
          <w:sz w:val="32"/>
          <w:szCs w:val="32"/>
          <w:lang w:val="en-US" w:eastAsia="zh-CN"/>
        </w:rPr>
        <w:t>要求的，或者拒不按照</w:t>
      </w:r>
      <w:r>
        <w:rPr>
          <w:rFonts w:hint="eastAsia" w:ascii="仿宋_GB2312" w:hAnsi="仿宋_GB2312" w:eastAsia="仿宋_GB2312" w:cs="仿宋_GB2312"/>
          <w:color w:val="auto"/>
          <w:sz w:val="32"/>
          <w:szCs w:val="32"/>
          <w:lang w:val="en-US" w:eastAsia="zh-CN"/>
        </w:rPr>
        <w:t>评审小组</w:t>
      </w:r>
      <w:r>
        <w:rPr>
          <w:rFonts w:hint="default" w:ascii="仿宋_GB2312" w:hAnsi="仿宋_GB2312" w:eastAsia="仿宋_GB2312" w:cs="仿宋_GB2312"/>
          <w:color w:val="auto"/>
          <w:sz w:val="32"/>
          <w:szCs w:val="32"/>
          <w:lang w:val="en-US" w:eastAsia="zh-CN"/>
        </w:rPr>
        <w:t>要求对</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文件进行澄清、说明或者补正的，</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应当</w:t>
      </w:r>
      <w:r>
        <w:rPr>
          <w:rFonts w:hint="default" w:ascii="仿宋_GB2312" w:hAnsi="仿宋_GB2312" w:eastAsia="仿宋_GB2312" w:cs="仿宋_GB2312"/>
          <w:color w:val="auto"/>
          <w:sz w:val="32"/>
          <w:szCs w:val="32"/>
          <w:lang w:val="en-US" w:eastAsia="zh-CN"/>
        </w:rPr>
        <w:t>否决</w:t>
      </w:r>
      <w:r>
        <w:rPr>
          <w:rFonts w:hint="eastAsia" w:ascii="仿宋_GB2312" w:hAnsi="仿宋_GB2312" w:eastAsia="仿宋_GB2312" w:cs="仿宋_GB2312"/>
          <w:color w:val="auto"/>
          <w:sz w:val="32"/>
          <w:szCs w:val="32"/>
        </w:rPr>
        <w:t>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default" w:ascii="仿宋_GB2312" w:hAnsi="仿宋_GB2312" w:eastAsia="仿宋_GB2312" w:cs="仿宋_GB2312"/>
          <w:color w:val="auto"/>
          <w:sz w:val="32"/>
          <w:szCs w:val="32"/>
          <w:lang w:val="en-US" w:eastAsia="zh-CN"/>
        </w:rPr>
        <w:t>。</w:t>
      </w:r>
    </w:p>
    <w:p w14:paraId="6EC16BC9">
      <w:pPr>
        <w:keepNext w:val="0"/>
        <w:keepLines w:val="0"/>
        <w:pageBreakBefore w:val="0"/>
        <w:widowControl/>
        <w:kinsoku/>
        <w:wordWrap w:val="0"/>
        <w:overflowPunct w:val="0"/>
        <w:topLinePunct w:val="0"/>
        <w:autoSpaceDE/>
        <w:autoSpaceDN/>
        <w:bidi w:val="0"/>
        <w:adjustRightInd/>
        <w:spacing w:line="420" w:lineRule="exact"/>
        <w:ind w:lef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 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w:t>
      </w:r>
      <w:r>
        <w:rPr>
          <w:rFonts w:hint="eastAsia" w:ascii="仿宋_GB2312" w:hAnsi="仿宋_GB2312" w:eastAsia="仿宋_GB2312" w:cs="仿宋_GB2312"/>
          <w:color w:val="auto"/>
          <w:sz w:val="32"/>
          <w:szCs w:val="32"/>
          <w:lang w:val="en-US" w:eastAsia="zh-CN"/>
        </w:rPr>
        <w:t>应当严格</w:t>
      </w: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val="en-US" w:eastAsia="zh-CN"/>
        </w:rPr>
        <w:t>比选文</w:t>
      </w:r>
      <w:r>
        <w:rPr>
          <w:rFonts w:hint="eastAsia" w:ascii="仿宋_GB2312" w:hAnsi="仿宋_GB2312" w:eastAsia="仿宋_GB2312" w:cs="仿宋_GB2312"/>
          <w:color w:val="auto"/>
          <w:sz w:val="32"/>
          <w:szCs w:val="32"/>
        </w:rPr>
        <w:t>件的要求逐一对有效的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w:t>
      </w:r>
      <w:r>
        <w:rPr>
          <w:rFonts w:hint="eastAsia" w:ascii="仿宋_GB2312" w:hAnsi="仿宋_GB2312" w:eastAsia="仿宋_GB2312" w:cs="仿宋_GB2312"/>
          <w:color w:val="auto"/>
          <w:sz w:val="32"/>
          <w:szCs w:val="32"/>
          <w:lang w:val="en-US" w:eastAsia="zh-CN"/>
        </w:rPr>
        <w:t>分项</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并计算出综合得分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根据综合得分，由高到低的顺序推荐前20名入库候选律师事务所，原则上入库候选律师事务所综合评分不得低于60分；综合得分相同的，由评审小组现场抽签确定排名。</w:t>
      </w:r>
    </w:p>
    <w:p w14:paraId="13790100">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5FBDB816">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二、现场评审</w:t>
      </w:r>
    </w:p>
    <w:p w14:paraId="4B510D29">
      <w:pPr>
        <w:keepNext w:val="0"/>
        <w:keepLines w:val="0"/>
        <w:pageBreakBefore w:val="0"/>
        <w:widowControl w:val="0"/>
        <w:kinsoku/>
        <w:wordWrap w:val="0"/>
        <w:overflowPunct w:val="0"/>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1. 资格审查</w:t>
      </w:r>
    </w:p>
    <w:tbl>
      <w:tblPr>
        <w:tblStyle w:val="29"/>
        <w:tblW w:w="10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6155"/>
        <w:gridCol w:w="3175"/>
      </w:tblGrid>
      <w:tr w14:paraId="1517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9" w:type="dxa"/>
            <w:shd w:val="clear" w:color="auto" w:fill="auto"/>
            <w:vAlign w:val="center"/>
          </w:tcPr>
          <w:p w14:paraId="33C85A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6155" w:type="dxa"/>
            <w:shd w:val="clear" w:color="auto" w:fill="auto"/>
            <w:vAlign w:val="center"/>
          </w:tcPr>
          <w:p w14:paraId="767D41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资格条件</w:t>
            </w:r>
          </w:p>
        </w:tc>
        <w:tc>
          <w:tcPr>
            <w:tcW w:w="3175" w:type="dxa"/>
            <w:shd w:val="clear" w:color="auto" w:fill="auto"/>
            <w:vAlign w:val="center"/>
          </w:tcPr>
          <w:p w14:paraId="6BBA8E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审查</w:t>
            </w:r>
            <w:r>
              <w:rPr>
                <w:rFonts w:hint="eastAsia" w:ascii="仿宋_GB2312" w:hAnsi="仿宋_GB2312" w:eastAsia="仿宋_GB2312" w:cs="仿宋_GB2312"/>
                <w:b/>
                <w:bCs/>
                <w:sz w:val="32"/>
                <w:szCs w:val="32"/>
                <w:lang w:eastAsia="zh-CN"/>
              </w:rPr>
              <w:t>要求</w:t>
            </w:r>
          </w:p>
        </w:tc>
      </w:tr>
      <w:tr w14:paraId="0F82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jc w:val="center"/>
        </w:trPr>
        <w:tc>
          <w:tcPr>
            <w:tcW w:w="769" w:type="dxa"/>
            <w:shd w:val="clear" w:color="auto" w:fill="auto"/>
            <w:vAlign w:val="center"/>
          </w:tcPr>
          <w:p w14:paraId="713C58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6155" w:type="dxa"/>
            <w:shd w:val="clear" w:color="auto" w:fill="auto"/>
            <w:vAlign w:val="center"/>
          </w:tcPr>
          <w:p w14:paraId="7D6638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参选人须是在中华人民共和国境内注册、具有独立承担民事责任能力的律师事务所，须未被列入“失信被执行人名单”、“重大税收违法失信主体”、“政府采购严重违法失信行为记录名单”。</w:t>
            </w:r>
          </w:p>
        </w:tc>
        <w:tc>
          <w:tcPr>
            <w:tcW w:w="3175" w:type="dxa"/>
            <w:shd w:val="clear" w:color="auto" w:fill="auto"/>
            <w:vAlign w:val="center"/>
          </w:tcPr>
          <w:p w14:paraId="62C26C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提供信用中国（https://www.creditchina.gov.cn/）、中国执行信息公开网（https://zxgk.court.gov.cn/）、中国政府采购网（http://www.ccgp.gov.cn/）查询时间、结果截图，并加盖公章。</w:t>
            </w:r>
          </w:p>
        </w:tc>
      </w:tr>
      <w:tr w14:paraId="3417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0" w:hRule="atLeast"/>
          <w:jc w:val="center"/>
        </w:trPr>
        <w:tc>
          <w:tcPr>
            <w:tcW w:w="769" w:type="dxa"/>
            <w:shd w:val="clear" w:color="auto" w:fill="auto"/>
            <w:vAlign w:val="center"/>
          </w:tcPr>
          <w:p w14:paraId="00F7FD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c>
          <w:tcPr>
            <w:tcW w:w="6155" w:type="dxa"/>
            <w:shd w:val="clear" w:color="auto" w:fill="auto"/>
            <w:vAlign w:val="center"/>
          </w:tcPr>
          <w:p w14:paraId="6B01079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参选人须具有依法缴纳税收和社会保障资金的良好记录。</w:t>
            </w:r>
          </w:p>
        </w:tc>
        <w:tc>
          <w:tcPr>
            <w:tcW w:w="3175" w:type="dxa"/>
            <w:shd w:val="clear" w:color="auto" w:fill="auto"/>
            <w:vAlign w:val="center"/>
          </w:tcPr>
          <w:p w14:paraId="035B759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提供参选时最近3个月的单位缴纳税收、拟指派执业律师的社保记录凭证（单位职工参保花名册），并加盖公章；或依法不需要缴纳社保的，提供证明文件，并加盖公章。</w:t>
            </w:r>
          </w:p>
        </w:tc>
      </w:tr>
      <w:tr w14:paraId="03D6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769" w:type="dxa"/>
            <w:shd w:val="clear" w:color="auto" w:fill="auto"/>
            <w:vAlign w:val="center"/>
          </w:tcPr>
          <w:p w14:paraId="727333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p>
        </w:tc>
        <w:tc>
          <w:tcPr>
            <w:tcW w:w="6155" w:type="dxa"/>
            <w:shd w:val="clear" w:color="auto" w:fill="auto"/>
            <w:vAlign w:val="center"/>
          </w:tcPr>
          <w:p w14:paraId="47F2407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参选人（包含拟指派执业律师）参选时最近3年内在经营活动中没有重大违纪、违法记录。</w:t>
            </w:r>
          </w:p>
        </w:tc>
        <w:tc>
          <w:tcPr>
            <w:tcW w:w="3175" w:type="dxa"/>
            <w:shd w:val="clear" w:color="auto" w:fill="auto"/>
            <w:vAlign w:val="center"/>
          </w:tcPr>
          <w:p w14:paraId="5DCEED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提供声明函，格式自拟，并加盖公章。</w:t>
            </w:r>
          </w:p>
        </w:tc>
      </w:tr>
      <w:tr w14:paraId="5AE8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jc w:val="center"/>
        </w:trPr>
        <w:tc>
          <w:tcPr>
            <w:tcW w:w="769" w:type="dxa"/>
            <w:shd w:val="clear" w:color="auto" w:fill="auto"/>
            <w:vAlign w:val="center"/>
          </w:tcPr>
          <w:p w14:paraId="36F43A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6155" w:type="dxa"/>
            <w:shd w:val="clear" w:color="auto" w:fill="auto"/>
            <w:vAlign w:val="center"/>
          </w:tcPr>
          <w:p w14:paraId="1205A39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参选人（包含拟指派执业律师）参选时最近3年内未因自身的任何违约、违法及违反职业道德的行为而导致服务合同解除或败诉，没有被投诉，未受过司法行政部门的行政处罚或律师协会的行业处分记录。</w:t>
            </w:r>
          </w:p>
        </w:tc>
        <w:tc>
          <w:tcPr>
            <w:tcW w:w="3175" w:type="dxa"/>
            <w:shd w:val="clear" w:color="auto" w:fill="auto"/>
            <w:vAlign w:val="center"/>
          </w:tcPr>
          <w:p w14:paraId="2F0921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提供声明函，格式自拟，并加盖公章。</w:t>
            </w:r>
          </w:p>
        </w:tc>
      </w:tr>
      <w:tr w14:paraId="338A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769" w:type="dxa"/>
            <w:shd w:val="clear" w:color="auto" w:fill="auto"/>
            <w:vAlign w:val="center"/>
          </w:tcPr>
          <w:p w14:paraId="562BFB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p>
        </w:tc>
        <w:tc>
          <w:tcPr>
            <w:tcW w:w="6155" w:type="dxa"/>
            <w:shd w:val="clear" w:color="auto" w:fill="auto"/>
            <w:vAlign w:val="center"/>
          </w:tcPr>
          <w:p w14:paraId="5EBE115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参选人具有良好的社会关系、资信实力、管理水平、商业信誉和健全的财务会计制度。</w:t>
            </w:r>
          </w:p>
        </w:tc>
        <w:tc>
          <w:tcPr>
            <w:tcW w:w="3175" w:type="dxa"/>
            <w:shd w:val="clear" w:color="auto" w:fill="auto"/>
            <w:vAlign w:val="center"/>
          </w:tcPr>
          <w:p w14:paraId="0A8701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提供声明函，格式自拟，并加盖公章。</w:t>
            </w:r>
          </w:p>
        </w:tc>
      </w:tr>
      <w:tr w14:paraId="4989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9" w:type="dxa"/>
            <w:shd w:val="clear" w:color="auto" w:fill="auto"/>
            <w:vAlign w:val="center"/>
          </w:tcPr>
          <w:p w14:paraId="62314F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p>
        </w:tc>
        <w:tc>
          <w:tcPr>
            <w:tcW w:w="6155" w:type="dxa"/>
            <w:shd w:val="clear" w:color="auto" w:fill="auto"/>
            <w:vAlign w:val="center"/>
          </w:tcPr>
          <w:p w14:paraId="6202A79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参选人参选时最近1年内不存在与公司存在利益冲突的情形（含诉讼、非诉讼、仲裁、投资并购等存在利益冲突的事项）。</w:t>
            </w:r>
          </w:p>
        </w:tc>
        <w:tc>
          <w:tcPr>
            <w:tcW w:w="3175" w:type="dxa"/>
            <w:shd w:val="clear" w:color="auto" w:fill="auto"/>
            <w:vAlign w:val="center"/>
          </w:tcPr>
          <w:p w14:paraId="1F73D7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提供声明函，格式自拟，并加盖公章。</w:t>
            </w:r>
          </w:p>
        </w:tc>
      </w:tr>
      <w:tr w14:paraId="09E5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9" w:type="dxa"/>
            <w:shd w:val="clear" w:color="auto" w:fill="auto"/>
            <w:vAlign w:val="center"/>
          </w:tcPr>
          <w:p w14:paraId="649DAE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p>
        </w:tc>
        <w:tc>
          <w:tcPr>
            <w:tcW w:w="6155" w:type="dxa"/>
            <w:shd w:val="clear" w:color="auto" w:fill="auto"/>
            <w:vAlign w:val="center"/>
          </w:tcPr>
          <w:p w14:paraId="4C932B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参选人承诺入库提供法律服务过程中具备相应数量的服务团队人员：主办律师至少一名，协办律师至少两名，团队律师合计不超过五名</w:t>
            </w:r>
            <w:r>
              <w:rPr>
                <w:rFonts w:hint="eastAsia" w:ascii="仿宋_GB2312" w:hAnsi="仿宋_GB2312" w:eastAsia="仿宋_GB2312" w:cs="仿宋_GB2312"/>
                <w:sz w:val="32"/>
                <w:szCs w:val="32"/>
                <w:lang w:eastAsia="zh-CN"/>
              </w:rPr>
              <w:t>。</w:t>
            </w:r>
          </w:p>
          <w:p w14:paraId="24A9EF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主办律师执业年限十年以上，具有丰富的执业经验、在相关专业领域具有较强的专业能力素养，已投保执业责任保险；协办律师执业年限五年以上，具有丰富的执业经验、在相关专业领域具有较强的专业能力素养，已投保执业责任保险。</w:t>
            </w:r>
          </w:p>
        </w:tc>
        <w:tc>
          <w:tcPr>
            <w:tcW w:w="3175" w:type="dxa"/>
            <w:shd w:val="clear" w:color="auto" w:fill="auto"/>
            <w:vAlign w:val="center"/>
          </w:tcPr>
          <w:p w14:paraId="55DB18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提供</w:t>
            </w:r>
            <w:r>
              <w:rPr>
                <w:rFonts w:hint="eastAsia" w:ascii="仿宋_GB2312" w:hAnsi="仿宋_GB2312" w:eastAsia="仿宋_GB2312" w:cs="仿宋_GB2312"/>
                <w:sz w:val="32"/>
                <w:szCs w:val="32"/>
                <w:lang w:val="en-US" w:eastAsia="zh-CN"/>
              </w:rPr>
              <w:t>服务团队人员名单、执业证书、投保</w:t>
            </w:r>
            <w:r>
              <w:rPr>
                <w:rFonts w:hint="eastAsia" w:ascii="仿宋_GB2312" w:hAnsi="仿宋_GB2312" w:eastAsia="仿宋_GB2312" w:cs="仿宋_GB2312"/>
                <w:sz w:val="32"/>
                <w:szCs w:val="32"/>
                <w:lang w:eastAsia="zh-CN"/>
              </w:rPr>
              <w:t>执业责任保险</w:t>
            </w:r>
            <w:r>
              <w:rPr>
                <w:rFonts w:hint="eastAsia" w:ascii="仿宋_GB2312" w:hAnsi="仿宋_GB2312" w:eastAsia="仿宋_GB2312" w:cs="仿宋_GB2312"/>
                <w:sz w:val="32"/>
                <w:szCs w:val="32"/>
                <w:lang w:val="en-US" w:eastAsia="zh-CN"/>
              </w:rPr>
              <w:t>记录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全国律师执业诚信信息公示平台（https://credit.acla.org.cn/）查询结果截图</w:t>
            </w:r>
            <w:r>
              <w:rPr>
                <w:rFonts w:hint="eastAsia" w:ascii="仿宋_GB2312" w:hAnsi="仿宋_GB2312" w:eastAsia="仿宋_GB2312" w:cs="仿宋_GB2312"/>
                <w:sz w:val="32"/>
                <w:szCs w:val="32"/>
                <w:lang w:eastAsia="zh-CN"/>
              </w:rPr>
              <w:t>，并加盖公章。</w:t>
            </w:r>
          </w:p>
        </w:tc>
      </w:tr>
    </w:tbl>
    <w:p w14:paraId="5AFC24EB">
      <w:pPr>
        <w:rPr>
          <w:rFonts w:hint="eastAsia" w:ascii="仿宋_GB2312" w:hAnsi="仿宋_GB2312" w:eastAsia="仿宋_GB2312" w:cs="仿宋_GB2312"/>
          <w:b/>
          <w:bCs/>
          <w:color w:val="auto"/>
          <w:sz w:val="32"/>
          <w:szCs w:val="32"/>
          <w:lang w:val="en-US" w:eastAsia="zh-CN"/>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5BDA09E0">
      <w:pPr>
        <w:keepNext w:val="0"/>
        <w:keepLines w:val="0"/>
        <w:pageBreakBefore w:val="0"/>
        <w:widowControl w:val="0"/>
        <w:numPr>
          <w:ilvl w:val="0"/>
          <w:numId w:val="9"/>
        </w:numPr>
        <w:kinsoku/>
        <w:wordWrap w:val="0"/>
        <w:overflowPunct w:val="0"/>
        <w:topLinePunct w:val="0"/>
        <w:autoSpaceDE/>
        <w:autoSpaceDN/>
        <w:bidi w:val="0"/>
        <w:adjustRightInd/>
        <w:snapToGrid/>
        <w:spacing w:line="560" w:lineRule="exact"/>
        <w:ind w:leftChars="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综合评审</w:t>
      </w:r>
    </w:p>
    <w:tbl>
      <w:tblPr>
        <w:tblStyle w:val="29"/>
        <w:tblW w:w="13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18"/>
        <w:gridCol w:w="1538"/>
        <w:gridCol w:w="1062"/>
        <w:gridCol w:w="669"/>
        <w:gridCol w:w="9210"/>
      </w:tblGrid>
      <w:tr w14:paraId="28435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Align w:val="center"/>
          </w:tcPr>
          <w:p w14:paraId="0643E2AD">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w:t>
            </w:r>
          </w:p>
        </w:tc>
        <w:tc>
          <w:tcPr>
            <w:tcW w:w="1538" w:type="dxa"/>
            <w:vAlign w:val="center"/>
          </w:tcPr>
          <w:p w14:paraId="63152D95">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评分内容</w:t>
            </w:r>
          </w:p>
        </w:tc>
        <w:tc>
          <w:tcPr>
            <w:tcW w:w="1062" w:type="dxa"/>
            <w:vAlign w:val="center"/>
          </w:tcPr>
          <w:p w14:paraId="0E8ACD7D">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评分因素</w:t>
            </w:r>
          </w:p>
        </w:tc>
        <w:tc>
          <w:tcPr>
            <w:tcW w:w="669" w:type="dxa"/>
            <w:vAlign w:val="center"/>
          </w:tcPr>
          <w:p w14:paraId="115D555F">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分值</w:t>
            </w:r>
          </w:p>
        </w:tc>
        <w:tc>
          <w:tcPr>
            <w:tcW w:w="9210" w:type="dxa"/>
            <w:vAlign w:val="center"/>
          </w:tcPr>
          <w:p w14:paraId="0E2AF7C7">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评分标准</w:t>
            </w:r>
          </w:p>
        </w:tc>
      </w:tr>
      <w:tr w14:paraId="47913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0" w:hRule="atLeast"/>
          <w:jc w:val="center"/>
        </w:trPr>
        <w:tc>
          <w:tcPr>
            <w:tcW w:w="1518" w:type="dxa"/>
            <w:vMerge w:val="restart"/>
            <w:vAlign w:val="center"/>
          </w:tcPr>
          <w:p w14:paraId="23F8F967">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color w:val="auto"/>
                <w:sz w:val="32"/>
                <w:szCs w:val="32"/>
              </w:rPr>
              <w:t>商务部分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40分</w:t>
            </w:r>
            <w:r>
              <w:rPr>
                <w:rFonts w:hint="eastAsia" w:ascii="仿宋_GB2312" w:hAnsi="仿宋_GB2312" w:eastAsia="仿宋_GB2312" w:cs="仿宋_GB2312"/>
                <w:color w:val="auto"/>
                <w:sz w:val="32"/>
                <w:szCs w:val="32"/>
                <w:lang w:eastAsia="zh-CN"/>
              </w:rPr>
              <w:t>）</w:t>
            </w:r>
          </w:p>
        </w:tc>
        <w:tc>
          <w:tcPr>
            <w:tcW w:w="1538" w:type="dxa"/>
            <w:vMerge w:val="restart"/>
            <w:vAlign w:val="center"/>
          </w:tcPr>
          <w:p w14:paraId="1BB5E6D9">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经验业绩</w:t>
            </w:r>
          </w:p>
        </w:tc>
        <w:tc>
          <w:tcPr>
            <w:tcW w:w="1062" w:type="dxa"/>
            <w:vMerge w:val="restart"/>
            <w:vAlign w:val="center"/>
          </w:tcPr>
          <w:p w14:paraId="26FB9383">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w:t>
            </w:r>
          </w:p>
        </w:tc>
        <w:tc>
          <w:tcPr>
            <w:tcW w:w="669" w:type="dxa"/>
            <w:vAlign w:val="center"/>
          </w:tcPr>
          <w:p w14:paraId="348AEFAB">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20分</w:t>
            </w:r>
          </w:p>
        </w:tc>
        <w:tc>
          <w:tcPr>
            <w:tcW w:w="9210" w:type="dxa"/>
            <w:vAlign w:val="center"/>
          </w:tcPr>
          <w:p w14:paraId="3E7F8204">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参选人近三年</w:t>
            </w:r>
            <w:r>
              <w:rPr>
                <w:rFonts w:hint="eastAsia" w:ascii="仿宋_GB2312" w:hAnsi="仿宋_GB2312" w:eastAsia="仿宋_GB2312" w:cs="仿宋_GB2312"/>
                <w:b w:val="0"/>
                <w:bCs w:val="0"/>
                <w:color w:val="auto"/>
                <w:sz w:val="32"/>
                <w:szCs w:val="32"/>
              </w:rPr>
              <w:t>参与</w:t>
            </w:r>
            <w:r>
              <w:rPr>
                <w:rFonts w:hint="eastAsia" w:ascii="仿宋_GB2312" w:hAnsi="仿宋_GB2312" w:eastAsia="仿宋_GB2312" w:cs="仿宋_GB2312"/>
                <w:b w:val="0"/>
                <w:bCs w:val="0"/>
                <w:color w:val="auto"/>
                <w:sz w:val="32"/>
                <w:szCs w:val="32"/>
                <w:lang w:val="en-US" w:eastAsia="zh-CN"/>
              </w:rPr>
              <w:t>国有企业的</w:t>
            </w:r>
            <w:r>
              <w:rPr>
                <w:rFonts w:hint="eastAsia" w:ascii="仿宋_GB2312" w:hAnsi="仿宋_GB2312" w:eastAsia="仿宋_GB2312" w:cs="仿宋_GB2312"/>
                <w:b w:val="0"/>
                <w:bCs w:val="0"/>
                <w:color w:val="auto"/>
                <w:sz w:val="32"/>
                <w:szCs w:val="32"/>
              </w:rPr>
              <w:t>重大改革、重大</w:t>
            </w:r>
            <w:r>
              <w:rPr>
                <w:rFonts w:hint="eastAsia" w:ascii="仿宋_GB2312" w:hAnsi="仿宋_GB2312" w:eastAsia="仿宋_GB2312" w:cs="仿宋_GB2312"/>
                <w:b w:val="0"/>
                <w:bCs w:val="0"/>
                <w:color w:val="auto"/>
                <w:sz w:val="32"/>
                <w:szCs w:val="32"/>
                <w:lang w:val="en-US" w:eastAsia="zh-CN"/>
              </w:rPr>
              <w:t>投融资</w:t>
            </w:r>
            <w:r>
              <w:rPr>
                <w:rFonts w:hint="eastAsia" w:ascii="仿宋_GB2312" w:hAnsi="仿宋_GB2312" w:eastAsia="仿宋_GB2312" w:cs="仿宋_GB2312"/>
                <w:b w:val="0"/>
                <w:bCs w:val="0"/>
                <w:color w:val="auto"/>
                <w:sz w:val="32"/>
                <w:szCs w:val="32"/>
              </w:rPr>
              <w:t>、重大项目</w:t>
            </w:r>
            <w:r>
              <w:rPr>
                <w:rFonts w:hint="eastAsia" w:ascii="仿宋_GB2312" w:hAnsi="仿宋_GB2312" w:eastAsia="仿宋_GB2312" w:cs="仿宋_GB2312"/>
                <w:b w:val="0"/>
                <w:bCs w:val="0"/>
                <w:color w:val="auto"/>
                <w:sz w:val="32"/>
                <w:szCs w:val="32"/>
                <w:lang w:val="en-US" w:eastAsia="zh-CN"/>
              </w:rPr>
              <w:t>安排</w:t>
            </w:r>
            <w:r>
              <w:rPr>
                <w:rFonts w:hint="eastAsia" w:ascii="仿宋_GB2312" w:hAnsi="仿宋_GB2312" w:eastAsia="仿宋_GB2312" w:cs="仿宋_GB2312"/>
                <w:b w:val="0"/>
                <w:bCs w:val="0"/>
                <w:color w:val="auto"/>
                <w:sz w:val="32"/>
                <w:szCs w:val="32"/>
              </w:rPr>
              <w:t>、重大资产</w:t>
            </w:r>
            <w:r>
              <w:rPr>
                <w:rFonts w:hint="eastAsia" w:ascii="仿宋_GB2312" w:hAnsi="仿宋_GB2312" w:eastAsia="仿宋_GB2312" w:cs="仿宋_GB2312"/>
                <w:b w:val="0"/>
                <w:bCs w:val="0"/>
                <w:color w:val="auto"/>
                <w:sz w:val="32"/>
                <w:szCs w:val="32"/>
                <w:lang w:val="en-US" w:eastAsia="zh-CN"/>
              </w:rPr>
              <w:t>收购</w:t>
            </w:r>
            <w:r>
              <w:rPr>
                <w:rFonts w:hint="eastAsia" w:ascii="仿宋_GB2312" w:hAnsi="仿宋_GB2312" w:eastAsia="仿宋_GB2312" w:cs="仿宋_GB2312"/>
                <w:b w:val="0"/>
                <w:bCs w:val="0"/>
                <w:color w:val="auto"/>
                <w:sz w:val="32"/>
                <w:szCs w:val="32"/>
              </w:rPr>
              <w:t>处置</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破产清算、债务重组等</w:t>
            </w:r>
            <w:r>
              <w:rPr>
                <w:rFonts w:hint="eastAsia" w:ascii="仿宋_GB2312" w:hAnsi="仿宋_GB2312" w:eastAsia="仿宋_GB2312" w:cs="仿宋_GB2312"/>
                <w:b w:val="0"/>
                <w:bCs w:val="0"/>
                <w:color w:val="auto"/>
                <w:sz w:val="32"/>
                <w:szCs w:val="32"/>
              </w:rPr>
              <w:t>法律</w:t>
            </w:r>
            <w:r>
              <w:rPr>
                <w:rFonts w:hint="eastAsia" w:ascii="仿宋_GB2312" w:hAnsi="仿宋_GB2312" w:eastAsia="仿宋_GB2312" w:cs="仿宋_GB2312"/>
                <w:b w:val="0"/>
                <w:bCs w:val="0"/>
                <w:color w:val="auto"/>
                <w:sz w:val="32"/>
                <w:szCs w:val="32"/>
                <w:lang w:val="en-US" w:eastAsia="zh-CN"/>
              </w:rPr>
              <w:t>服务项目。</w:t>
            </w:r>
          </w:p>
          <w:p w14:paraId="3790FE1C">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每提供一份项目合同得2分，满分20分。</w:t>
            </w:r>
          </w:p>
        </w:tc>
      </w:tr>
      <w:tr w14:paraId="2D5E7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40" w:hRule="atLeast"/>
          <w:jc w:val="center"/>
        </w:trPr>
        <w:tc>
          <w:tcPr>
            <w:tcW w:w="1518" w:type="dxa"/>
            <w:vMerge w:val="continue"/>
            <w:vAlign w:val="center"/>
          </w:tcPr>
          <w:p w14:paraId="32F7F40F">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bCs/>
                <w:color w:val="auto"/>
                <w:sz w:val="32"/>
                <w:szCs w:val="32"/>
              </w:rPr>
            </w:pPr>
          </w:p>
        </w:tc>
        <w:tc>
          <w:tcPr>
            <w:tcW w:w="1538" w:type="dxa"/>
            <w:vMerge w:val="continue"/>
            <w:vAlign w:val="center"/>
          </w:tcPr>
          <w:p w14:paraId="7E782AC2">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bCs/>
                <w:color w:val="auto"/>
                <w:sz w:val="32"/>
                <w:szCs w:val="32"/>
              </w:rPr>
            </w:pPr>
          </w:p>
        </w:tc>
        <w:tc>
          <w:tcPr>
            <w:tcW w:w="1062" w:type="dxa"/>
            <w:vMerge w:val="continue"/>
            <w:vAlign w:val="center"/>
          </w:tcPr>
          <w:p w14:paraId="54B6982F">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val="0"/>
                <w:bCs w:val="0"/>
                <w:color w:val="auto"/>
                <w:sz w:val="32"/>
                <w:szCs w:val="32"/>
                <w:lang w:val="en-US"/>
              </w:rPr>
            </w:pPr>
          </w:p>
        </w:tc>
        <w:tc>
          <w:tcPr>
            <w:tcW w:w="669" w:type="dxa"/>
            <w:vAlign w:val="center"/>
          </w:tcPr>
          <w:p w14:paraId="12B91658">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20</w:t>
            </w:r>
            <w:r>
              <w:rPr>
                <w:rFonts w:hint="eastAsia" w:ascii="仿宋_GB2312" w:hAnsi="仿宋_GB2312" w:eastAsia="仿宋_GB2312" w:cs="仿宋_GB2312"/>
                <w:b w:val="0"/>
                <w:bCs w:val="0"/>
                <w:color w:val="auto"/>
                <w:sz w:val="32"/>
                <w:szCs w:val="32"/>
              </w:rPr>
              <w:t>分</w:t>
            </w:r>
          </w:p>
        </w:tc>
        <w:tc>
          <w:tcPr>
            <w:tcW w:w="9210" w:type="dxa"/>
            <w:vAlign w:val="center"/>
          </w:tcPr>
          <w:p w14:paraId="0D06EE62">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服务团队律师近三年参与（民事案件案由规定）借款合同纠纷、与企业有关的纠纷、与公司有关的纠纷、与破产有关的纠纷、公司清算案件、破产程序案件等争议解决项目。</w:t>
            </w:r>
          </w:p>
          <w:p w14:paraId="13B55CA7">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left"/>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每提供一份项目合同得2分，满分20分。</w:t>
            </w:r>
          </w:p>
        </w:tc>
      </w:tr>
      <w:tr w14:paraId="2EFDE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0" w:hRule="atLeast"/>
          <w:jc w:val="center"/>
        </w:trPr>
        <w:tc>
          <w:tcPr>
            <w:tcW w:w="1518" w:type="dxa"/>
            <w:vAlign w:val="center"/>
          </w:tcPr>
          <w:p w14:paraId="499A8496">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技术</w:t>
            </w:r>
            <w:r>
              <w:rPr>
                <w:rFonts w:hint="eastAsia" w:ascii="仿宋_GB2312" w:hAnsi="仿宋_GB2312" w:eastAsia="仿宋_GB2312" w:cs="仿宋_GB2312"/>
                <w:color w:val="auto"/>
                <w:sz w:val="32"/>
                <w:szCs w:val="32"/>
                <w:lang w:val="en-US" w:eastAsia="zh-CN"/>
              </w:rPr>
              <w:t>部分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60</w:t>
            </w:r>
            <w:r>
              <w:rPr>
                <w:rFonts w:hint="eastAsia" w:ascii="仿宋_GB2312" w:hAnsi="仿宋_GB2312" w:eastAsia="仿宋_GB2312" w:cs="仿宋_GB2312"/>
                <w:color w:val="auto"/>
                <w:sz w:val="32"/>
                <w:szCs w:val="32"/>
              </w:rPr>
              <w:t>分）</w:t>
            </w:r>
          </w:p>
        </w:tc>
        <w:tc>
          <w:tcPr>
            <w:tcW w:w="1538" w:type="dxa"/>
            <w:vAlign w:val="center"/>
          </w:tcPr>
          <w:p w14:paraId="34E3D2B8">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bidi="ar"/>
              </w:rPr>
              <w:t>服务方案</w:t>
            </w:r>
          </w:p>
        </w:tc>
        <w:tc>
          <w:tcPr>
            <w:tcW w:w="1062" w:type="dxa"/>
            <w:vAlign w:val="center"/>
          </w:tcPr>
          <w:p w14:paraId="08110D5B">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w:t>
            </w:r>
          </w:p>
        </w:tc>
        <w:tc>
          <w:tcPr>
            <w:tcW w:w="669" w:type="dxa"/>
            <w:vAlign w:val="center"/>
          </w:tcPr>
          <w:p w14:paraId="2653DD1C">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60分</w:t>
            </w:r>
          </w:p>
        </w:tc>
        <w:tc>
          <w:tcPr>
            <w:tcW w:w="9210" w:type="dxa"/>
            <w:vAlign w:val="center"/>
          </w:tcPr>
          <w:p w14:paraId="189972EE">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eastAsia="zh-CN"/>
              </w:rPr>
              <w:t>参选人</w:t>
            </w:r>
            <w:r>
              <w:rPr>
                <w:rFonts w:hint="eastAsia" w:ascii="仿宋_GB2312" w:hAnsi="仿宋_GB2312" w:eastAsia="仿宋_GB2312" w:cs="仿宋_GB2312"/>
                <w:sz w:val="32"/>
                <w:szCs w:val="32"/>
                <w:lang w:val="en-US" w:eastAsia="zh-CN"/>
              </w:rPr>
              <w:t>应当</w:t>
            </w: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val="en-US" w:eastAsia="zh-CN"/>
              </w:rPr>
              <w:t>公司经营</w:t>
            </w:r>
            <w:r>
              <w:rPr>
                <w:rFonts w:hint="eastAsia" w:ascii="仿宋_GB2312" w:hAnsi="仿宋_GB2312" w:eastAsia="仿宋_GB2312" w:cs="仿宋_GB2312"/>
                <w:color w:val="auto"/>
                <w:sz w:val="32"/>
                <w:szCs w:val="32"/>
              </w:rPr>
              <w:t>特点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重点从</w:t>
            </w:r>
            <w:r>
              <w:rPr>
                <w:rFonts w:hint="eastAsia" w:ascii="仿宋_GB2312" w:hAnsi="仿宋_GB2312" w:eastAsia="仿宋_GB2312" w:cs="仿宋_GB2312"/>
                <w:color w:val="auto"/>
                <w:sz w:val="32"/>
                <w:szCs w:val="32"/>
              </w:rPr>
              <w:t>服务方式</w:t>
            </w:r>
            <w:r>
              <w:rPr>
                <w:rFonts w:hint="eastAsia" w:ascii="仿宋_GB2312" w:hAnsi="仿宋_GB2312" w:eastAsia="仿宋_GB2312" w:cs="仿宋_GB2312"/>
                <w:color w:val="auto"/>
                <w:sz w:val="32"/>
                <w:szCs w:val="32"/>
                <w:lang w:val="en-US" w:eastAsia="zh-CN"/>
              </w:rPr>
              <w:t>和内容、</w:t>
            </w:r>
            <w:r>
              <w:rPr>
                <w:rFonts w:hint="eastAsia" w:ascii="仿宋_GB2312" w:hAnsi="仿宋_GB2312" w:eastAsia="仿宋_GB2312" w:cs="仿宋_GB2312"/>
                <w:color w:val="auto"/>
                <w:sz w:val="32"/>
                <w:szCs w:val="32"/>
              </w:rPr>
              <w:t>工作思路、</w:t>
            </w:r>
            <w:r>
              <w:rPr>
                <w:rFonts w:hint="eastAsia" w:ascii="仿宋_GB2312" w:hAnsi="仿宋_GB2312" w:eastAsia="仿宋_GB2312" w:cs="仿宋_GB2312"/>
                <w:color w:val="auto"/>
                <w:sz w:val="32"/>
                <w:szCs w:val="32"/>
                <w:lang w:val="en-US" w:eastAsia="zh-CN"/>
              </w:rPr>
              <w:t>合规风控、</w:t>
            </w:r>
            <w:r>
              <w:rPr>
                <w:rFonts w:hint="eastAsia" w:ascii="仿宋_GB2312" w:hAnsi="仿宋_GB2312" w:eastAsia="仿宋_GB2312" w:cs="仿宋_GB2312"/>
                <w:color w:val="auto"/>
                <w:sz w:val="32"/>
                <w:szCs w:val="32"/>
              </w:rPr>
              <w:t>沟通交流机制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响应时间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保密应急等</w:t>
            </w:r>
            <w:r>
              <w:rPr>
                <w:rFonts w:hint="eastAsia" w:ascii="仿宋_GB2312" w:hAnsi="仿宋_GB2312" w:eastAsia="仿宋_GB2312" w:cs="仿宋_GB2312"/>
                <w:color w:val="auto"/>
                <w:sz w:val="32"/>
                <w:szCs w:val="32"/>
              </w:rPr>
              <w:t>方面</w:t>
            </w:r>
            <w:r>
              <w:rPr>
                <w:rFonts w:hint="eastAsia" w:ascii="仿宋_GB2312" w:hAnsi="仿宋_GB2312" w:eastAsia="仿宋_GB2312" w:cs="仿宋_GB2312"/>
                <w:color w:val="auto"/>
                <w:sz w:val="32"/>
                <w:szCs w:val="32"/>
                <w:lang w:val="en-US" w:eastAsia="zh-CN"/>
              </w:rPr>
              <w:t>考量</w:t>
            </w:r>
            <w:r>
              <w:rPr>
                <w:rFonts w:hint="eastAsia" w:ascii="仿宋_GB2312" w:hAnsi="仿宋_GB2312" w:eastAsia="仿宋_GB2312" w:cs="仿宋_GB2312"/>
                <w:color w:val="auto"/>
                <w:sz w:val="32"/>
                <w:szCs w:val="32"/>
              </w:rPr>
              <w:t>，提供完整的服务方案</w:t>
            </w:r>
            <w:r>
              <w:rPr>
                <w:rFonts w:hint="eastAsia" w:ascii="仿宋_GB2312" w:hAnsi="仿宋_GB2312" w:eastAsia="仿宋_GB2312" w:cs="仿宋_GB2312"/>
                <w:color w:val="auto"/>
                <w:sz w:val="32"/>
                <w:szCs w:val="32"/>
                <w:lang w:eastAsia="zh-CN"/>
              </w:rPr>
              <w:t>。</w:t>
            </w:r>
          </w:p>
          <w:p w14:paraId="549B6FEC">
            <w:pPr>
              <w:keepNext w:val="0"/>
              <w:keepLines w:val="0"/>
              <w:pageBreakBefore w:val="0"/>
              <w:widowControl w:val="0"/>
              <w:kinsoku/>
              <w:wordWrap w:val="0"/>
              <w:overflowPunct w:val="0"/>
              <w:topLinePunct w:val="0"/>
              <w:autoSpaceDE/>
              <w:autoSpaceDN/>
              <w:bidi w:val="0"/>
              <w:adjustRightInd/>
              <w:snapToGrid/>
              <w:spacing w:line="400" w:lineRule="exact"/>
              <w:ind w:left="0" w:firstLine="0" w:firstLineChars="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sz w:val="32"/>
                <w:szCs w:val="32"/>
                <w:lang w:eastAsia="zh-CN"/>
              </w:rPr>
              <w:t>参选人</w:t>
            </w:r>
            <w:r>
              <w:rPr>
                <w:rFonts w:hint="eastAsia" w:ascii="仿宋_GB2312" w:hAnsi="仿宋_GB2312" w:eastAsia="仿宋_GB2312" w:cs="仿宋_GB2312"/>
                <w:color w:val="auto"/>
                <w:sz w:val="32"/>
                <w:szCs w:val="32"/>
              </w:rPr>
              <w:t>提供的服务方案进行横向对比打分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分</w:t>
            </w:r>
            <w:r>
              <w:rPr>
                <w:rFonts w:hint="eastAsia" w:ascii="仿宋_GB2312" w:hAnsi="仿宋_GB2312" w:eastAsia="仿宋_GB2312" w:cs="仿宋_GB2312"/>
                <w:color w:val="000000"/>
                <w:kern w:val="0"/>
                <w:sz w:val="32"/>
                <w:szCs w:val="32"/>
                <w:lang w:val="en-US" w:eastAsia="zh-CN" w:bidi="ar"/>
              </w:rPr>
              <w:t xml:space="preserve">档评分：优得 </w:t>
            </w:r>
            <w:r>
              <w:rPr>
                <w:rFonts w:hint="eastAsia" w:ascii="仿宋_GB2312" w:hAnsi="仿宋_GB2312" w:eastAsia="仿宋_GB2312" w:cs="仿宋_GB2312"/>
                <w:color w:val="auto"/>
                <w:sz w:val="32"/>
                <w:szCs w:val="32"/>
                <w:lang w:val="en-US" w:eastAsia="zh-CN"/>
              </w:rPr>
              <w:t xml:space="preserve">60-41 </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000000"/>
                <w:kern w:val="0"/>
                <w:sz w:val="32"/>
                <w:szCs w:val="32"/>
                <w:lang w:val="en-US" w:eastAsia="zh-CN" w:bidi="ar"/>
              </w:rPr>
              <w:t xml:space="preserve">；良得 </w:t>
            </w:r>
            <w:r>
              <w:rPr>
                <w:rFonts w:hint="eastAsia" w:ascii="仿宋_GB2312" w:hAnsi="仿宋_GB2312" w:eastAsia="仿宋_GB2312" w:cs="仿宋_GB2312"/>
                <w:color w:val="auto"/>
                <w:sz w:val="32"/>
                <w:szCs w:val="32"/>
                <w:lang w:val="en-US" w:eastAsia="zh-CN"/>
              </w:rPr>
              <w:t>40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21 </w:t>
            </w:r>
            <w:r>
              <w:rPr>
                <w:rFonts w:hint="eastAsia" w:ascii="仿宋_GB2312" w:hAnsi="仿宋_GB2312" w:eastAsia="仿宋_GB2312" w:cs="仿宋_GB2312"/>
                <w:color w:val="000000"/>
                <w:kern w:val="0"/>
                <w:sz w:val="32"/>
                <w:szCs w:val="32"/>
                <w:lang w:val="en-US" w:eastAsia="zh-CN" w:bidi="ar"/>
              </w:rPr>
              <w:t xml:space="preserve">分；一般得 </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000000"/>
                <w:kern w:val="0"/>
                <w:sz w:val="32"/>
                <w:szCs w:val="32"/>
                <w:lang w:val="en-US" w:eastAsia="zh-CN" w:bidi="ar"/>
              </w:rPr>
              <w:t>分。（满分 60 分）</w:t>
            </w:r>
          </w:p>
        </w:tc>
      </w:tr>
    </w:tbl>
    <w:p w14:paraId="282302D6">
      <w:pPr>
        <w:rPr>
          <w:rFonts w:hint="eastAsia" w:ascii="宋体" w:hAnsi="宋体"/>
          <w:color w:val="auto"/>
          <w:sz w:val="36"/>
          <w:szCs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35FCBCE2">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eastAsia" w:ascii="黑体" w:hAnsi="黑体" w:eastAsia="黑体" w:cs="黑体"/>
          <w:b w:val="0"/>
          <w:bCs w:val="0"/>
          <w:color w:val="auto"/>
          <w:lang w:val="en-US" w:eastAsia="zh-CN"/>
        </w:rPr>
      </w:pPr>
      <w:bookmarkStart w:id="17" w:name="_Toc3953"/>
      <w:r>
        <w:rPr>
          <w:rFonts w:hint="eastAsia" w:ascii="黑体" w:hAnsi="黑体" w:eastAsia="黑体" w:cs="黑体"/>
          <w:b w:val="0"/>
          <w:bCs w:val="0"/>
          <w:color w:val="auto"/>
          <w:lang w:val="en-US" w:eastAsia="zh-CN"/>
        </w:rPr>
        <w:t>第四章</w:t>
      </w:r>
      <w:bookmarkEnd w:id="15"/>
      <w:bookmarkStart w:id="18" w:name="_Toc7859"/>
      <w:r>
        <w:rPr>
          <w:rFonts w:hint="eastAsia" w:ascii="黑体" w:hAnsi="黑体" w:eastAsia="黑体" w:cs="黑体"/>
          <w:b w:val="0"/>
          <w:bCs w:val="0"/>
          <w:color w:val="auto"/>
          <w:lang w:val="en-US" w:eastAsia="zh-CN"/>
        </w:rPr>
        <w:t xml:space="preserve"> 服务合同文本</w:t>
      </w:r>
      <w:bookmarkEnd w:id="16"/>
      <w:bookmarkEnd w:id="17"/>
    </w:p>
    <w:p w14:paraId="715F6AA9">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p>
    <w:p w14:paraId="62034BCB">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入库律师事务所服务合同</w:t>
      </w:r>
    </w:p>
    <w:p w14:paraId="6D0A48FC">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p>
    <w:p w14:paraId="402520A9">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甲    方：</w:t>
      </w:r>
    </w:p>
    <w:p w14:paraId="2018F7EA">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统一社会信用代码：</w:t>
      </w:r>
    </w:p>
    <w:p w14:paraId="6E173161">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法定代表人：</w:t>
      </w:r>
    </w:p>
    <w:p w14:paraId="4F77BB35">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地    址：</w:t>
      </w:r>
    </w:p>
    <w:p w14:paraId="39EA8C4B">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p>
    <w:p w14:paraId="63E0140F">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乙    方：</w:t>
      </w:r>
    </w:p>
    <w:p w14:paraId="726E9982">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统一社会信用代码：</w:t>
      </w:r>
    </w:p>
    <w:p w14:paraId="349A8A2A">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w:t>
      </w:r>
    </w:p>
    <w:p w14:paraId="1DAC58CA">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地    址：</w:t>
      </w:r>
    </w:p>
    <w:p w14:paraId="40D5A9E9">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p>
    <w:p w14:paraId="1E821E75">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依据《海南联合资产管理有限公司外聘律师事务所管理办法》（琼联合发〔2025〕41号）等有关规定，甲方经公开比选方式确认乙方作为</w:t>
      </w:r>
      <w:r>
        <w:rPr>
          <w:rFonts w:hint="eastAsia" w:ascii="仿宋_GB2312" w:hAnsi="仿宋_GB2312" w:eastAsia="仿宋_GB2312" w:cs="仿宋_GB2312"/>
          <w:b w:val="0"/>
          <w:bCs w:val="0"/>
          <w:color w:val="auto"/>
          <w:sz w:val="32"/>
          <w:szCs w:val="32"/>
          <w:u w:val="single"/>
          <w:lang w:val="en-US" w:eastAsia="zh-CN"/>
        </w:rPr>
        <w:t>海南联合资产管理有限公司公开比选组建法律服务机构库项目</w:t>
      </w:r>
      <w:r>
        <w:rPr>
          <w:rFonts w:hint="eastAsia" w:ascii="仿宋_GB2312" w:hAnsi="仿宋_GB2312" w:eastAsia="仿宋_GB2312" w:cs="仿宋_GB2312"/>
          <w:b w:val="0"/>
          <w:bCs w:val="0"/>
          <w:color w:val="auto"/>
          <w:sz w:val="32"/>
          <w:szCs w:val="32"/>
          <w:lang w:val="en-US" w:eastAsia="zh-CN"/>
        </w:rPr>
        <w:t>的</w:t>
      </w:r>
      <w:r>
        <w:rPr>
          <w:rFonts w:hint="default" w:ascii="仿宋_GB2312" w:hAnsi="仿宋_GB2312" w:eastAsia="仿宋_GB2312" w:cs="仿宋_GB2312"/>
          <w:color w:val="auto"/>
          <w:sz w:val="32"/>
          <w:szCs w:val="32"/>
          <w:lang w:val="en-US" w:eastAsia="zh-CN"/>
        </w:rPr>
        <w:t>入库</w:t>
      </w:r>
      <w:r>
        <w:rPr>
          <w:rFonts w:hint="eastAsia" w:ascii="仿宋_GB2312" w:hAnsi="仿宋_GB2312" w:eastAsia="仿宋_GB2312" w:cs="仿宋_GB2312"/>
          <w:color w:val="auto"/>
          <w:sz w:val="32"/>
          <w:szCs w:val="32"/>
          <w:lang w:val="en-US" w:eastAsia="zh-CN"/>
        </w:rPr>
        <w:t>律师事务所</w:t>
      </w:r>
      <w:r>
        <w:rPr>
          <w:rFonts w:hint="eastAsia" w:ascii="仿宋_GB2312" w:hAnsi="仿宋_GB2312" w:eastAsia="仿宋_GB2312" w:cs="仿宋_GB2312"/>
          <w:b w:val="0"/>
          <w:bCs w:val="0"/>
          <w:color w:val="auto"/>
          <w:sz w:val="32"/>
          <w:szCs w:val="32"/>
          <w:lang w:val="en-US" w:eastAsia="zh-CN"/>
        </w:rPr>
        <w:t>，为甲方（包括甲方所属各级全资、控股企业）提供高效、专业的法律服务。</w:t>
      </w:r>
    </w:p>
    <w:p w14:paraId="4D2CF7F1">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双方经过充分协商，本着自愿、平等、互利、诚实信用的原则，就有关法律服务事宜达成一致，订立</w:t>
      </w:r>
      <w:r>
        <w:rPr>
          <w:rFonts w:hint="eastAsia" w:ascii="仿宋_GB2312" w:hAnsi="仿宋_GB2312" w:eastAsia="仿宋_GB2312" w:cs="仿宋_GB2312"/>
          <w:color w:val="auto"/>
          <w:sz w:val="32"/>
          <w:szCs w:val="32"/>
          <w:lang w:val="en-US" w:eastAsia="zh-CN"/>
        </w:rPr>
        <w:t>本合同</w:t>
      </w:r>
      <w:r>
        <w:rPr>
          <w:rFonts w:hint="eastAsia" w:ascii="仿宋_GB2312" w:hAnsi="仿宋_GB2312" w:eastAsia="仿宋_GB2312" w:cs="仿宋_GB2312"/>
          <w:b w:val="0"/>
          <w:bCs w:val="0"/>
          <w:color w:val="auto"/>
          <w:sz w:val="32"/>
          <w:szCs w:val="32"/>
          <w:lang w:val="en-US" w:eastAsia="zh-CN"/>
        </w:rPr>
        <w:t>。</w:t>
      </w:r>
    </w:p>
    <w:p w14:paraId="532760A4">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定  义</w:t>
      </w:r>
    </w:p>
    <w:p w14:paraId="4B41AAB3">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 “协议”指本合同及其附件。</w:t>
      </w:r>
    </w:p>
    <w:p w14:paraId="3A17F13A">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 除有特别说明外，“天”、“日”指日历日。</w:t>
      </w:r>
    </w:p>
    <w:p w14:paraId="1F5FEC54">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合同的组成</w:t>
      </w:r>
    </w:p>
    <w:p w14:paraId="5286BEB1">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以下文件是本合同不可分割的组成部分，如果不同文件的条款之间有冲突，文件之间的优先效力顺序如下：</w:t>
      </w:r>
    </w:p>
    <w:p w14:paraId="6EF2C806">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2.1 本合同及其附件。</w:t>
      </w:r>
    </w:p>
    <w:p w14:paraId="2EACF22A">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 比选文件（含澄清文件等）。</w:t>
      </w:r>
    </w:p>
    <w:p w14:paraId="068FB5D5">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2.3 参选文件（补充通知及补充文件等）。</w:t>
      </w:r>
    </w:p>
    <w:p w14:paraId="250D10D4">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2.4 双方与合同有关的往来信函、传真经双方法定代表人或其授权代表签字并加盖单位公章确认后视为本合同的组成部分。</w:t>
      </w:r>
    </w:p>
    <w:p w14:paraId="18B1C30C">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2.5 经双方法定代表人或其授权代表签字并加盖单位公章确认的补充协议（如有）。</w:t>
      </w:r>
    </w:p>
    <w:p w14:paraId="6DA95749">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default" w:ascii="楷体_GB2312" w:hAnsi="楷体_GB2312" w:eastAsia="楷体_GB2312" w:cs="楷体_GB2312"/>
          <w:b/>
          <w:bCs/>
          <w:color w:val="auto"/>
          <w:sz w:val="32"/>
          <w:szCs w:val="32"/>
          <w:lang w:val="en-US" w:eastAsia="zh-CN"/>
        </w:rPr>
      </w:pPr>
      <w:r>
        <w:rPr>
          <w:rFonts w:hint="default" w:ascii="楷体_GB2312" w:hAnsi="楷体_GB2312" w:eastAsia="楷体_GB2312" w:cs="楷体_GB2312"/>
          <w:b/>
          <w:bCs/>
          <w:color w:val="auto"/>
          <w:sz w:val="32"/>
          <w:szCs w:val="32"/>
          <w:lang w:val="en-US" w:eastAsia="zh-CN"/>
        </w:rPr>
        <w:t>服务期限</w:t>
      </w:r>
    </w:p>
    <w:p w14:paraId="0203BF4C">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3.1 乙方服务期限</w:t>
      </w:r>
      <w:r>
        <w:rPr>
          <w:rFonts w:hint="default" w:ascii="仿宋_GB2312" w:hAnsi="仿宋_GB2312" w:eastAsia="仿宋_GB2312" w:cs="仿宋_GB2312"/>
          <w:color w:val="auto"/>
          <w:sz w:val="32"/>
          <w:szCs w:val="32"/>
          <w:lang w:val="en-US" w:eastAsia="zh-CN"/>
        </w:rPr>
        <w:t>不超过</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年，自入库通知书签发之日起算</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到期后</w:t>
      </w:r>
      <w:r>
        <w:rPr>
          <w:rFonts w:hint="eastAsia" w:ascii="仿宋_GB2312" w:hAnsi="仿宋_GB2312" w:eastAsia="仿宋_GB2312" w:cs="仿宋_GB2312"/>
          <w:color w:val="auto"/>
          <w:sz w:val="32"/>
          <w:szCs w:val="32"/>
          <w:lang w:val="en-US" w:eastAsia="zh-CN"/>
        </w:rPr>
        <w:t>至甲方</w:t>
      </w:r>
      <w:r>
        <w:rPr>
          <w:rFonts w:hint="default" w:ascii="仿宋_GB2312" w:hAnsi="仿宋_GB2312" w:eastAsia="仿宋_GB2312" w:cs="仿宋_GB2312"/>
          <w:color w:val="auto"/>
          <w:sz w:val="32"/>
          <w:szCs w:val="32"/>
          <w:lang w:val="en-US" w:eastAsia="zh-CN"/>
        </w:rPr>
        <w:t>建立新的法律服务机构库之前，</w:t>
      </w:r>
      <w:r>
        <w:rPr>
          <w:rFonts w:hint="eastAsia" w:ascii="仿宋_GB2312" w:hAnsi="仿宋_GB2312" w:eastAsia="仿宋_GB2312" w:cs="仿宋_GB2312"/>
          <w:color w:val="auto"/>
          <w:sz w:val="32"/>
          <w:szCs w:val="32"/>
          <w:lang w:val="en-US" w:eastAsia="zh-CN"/>
        </w:rPr>
        <w:t>乙方应当</w:t>
      </w:r>
      <w:r>
        <w:rPr>
          <w:rFonts w:hint="default" w:ascii="仿宋_GB2312" w:hAnsi="仿宋_GB2312" w:eastAsia="仿宋_GB2312" w:cs="仿宋_GB2312"/>
          <w:color w:val="auto"/>
          <w:sz w:val="32"/>
          <w:szCs w:val="32"/>
          <w:lang w:val="en-US" w:eastAsia="zh-CN"/>
        </w:rPr>
        <w:t>继续</w:t>
      </w:r>
      <w:r>
        <w:rPr>
          <w:rFonts w:hint="eastAsia" w:ascii="仿宋_GB2312" w:hAnsi="仿宋_GB2312" w:eastAsia="仿宋_GB2312" w:cs="仿宋_GB2312"/>
          <w:color w:val="auto"/>
          <w:sz w:val="32"/>
          <w:szCs w:val="32"/>
          <w:lang w:val="en-US" w:eastAsia="zh-CN"/>
        </w:rPr>
        <w:t>提供服务</w:t>
      </w:r>
      <w:r>
        <w:rPr>
          <w:rFonts w:hint="default" w:ascii="仿宋_GB2312" w:hAnsi="仿宋_GB2312" w:eastAsia="仿宋_GB2312" w:cs="仿宋_GB2312"/>
          <w:color w:val="auto"/>
          <w:sz w:val="32"/>
          <w:szCs w:val="32"/>
          <w:lang w:val="en-US" w:eastAsia="zh-CN"/>
        </w:rPr>
        <w:t>（原则上不超过三个月）</w:t>
      </w:r>
      <w:r>
        <w:rPr>
          <w:rFonts w:hint="eastAsia" w:ascii="仿宋_GB2312" w:hAnsi="仿宋_GB2312" w:eastAsia="仿宋_GB2312" w:cs="仿宋_GB2312"/>
          <w:color w:val="auto"/>
          <w:sz w:val="32"/>
          <w:szCs w:val="32"/>
          <w:lang w:val="en-US" w:eastAsia="zh-CN"/>
        </w:rPr>
        <w:t>。</w:t>
      </w:r>
    </w:p>
    <w:p w14:paraId="2E4472B2">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 甲方按照本协议第七条约定对乙方</w:t>
      </w:r>
      <w:r>
        <w:rPr>
          <w:rFonts w:hint="default" w:ascii="仿宋_GB2312" w:hAnsi="仿宋_GB2312" w:eastAsia="仿宋_GB2312" w:cs="仿宋_GB2312"/>
          <w:color w:val="auto"/>
          <w:sz w:val="32"/>
          <w:szCs w:val="32"/>
          <w:lang w:val="en-US" w:eastAsia="zh-CN"/>
        </w:rPr>
        <w:t>实行动态</w:t>
      </w:r>
      <w:r>
        <w:rPr>
          <w:rFonts w:hint="eastAsia" w:ascii="仿宋_GB2312" w:hAnsi="仿宋_GB2312" w:eastAsia="仿宋_GB2312" w:cs="仿宋_GB2312"/>
          <w:color w:val="auto"/>
          <w:sz w:val="32"/>
          <w:szCs w:val="32"/>
          <w:lang w:val="en-US" w:eastAsia="zh-CN"/>
        </w:rPr>
        <w:t>调整。</w:t>
      </w:r>
    </w:p>
    <w:p w14:paraId="1D0796BC">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甲方的权利和义务</w:t>
      </w:r>
    </w:p>
    <w:p w14:paraId="3CC82C6D">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3.1 有权委托乙方代理承办具体服务项目。</w:t>
      </w:r>
    </w:p>
    <w:p w14:paraId="1888C549">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 及时向乙方提供办理具体服务项目所需的各种批复、指令、解释、数据、文件等必要的文件材料、信息。</w:t>
      </w:r>
    </w:p>
    <w:p w14:paraId="5F6FB34F">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乙方的权利和义务</w:t>
      </w:r>
    </w:p>
    <w:p w14:paraId="3DC74373">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4.1 根据甲方具体服务项目需求，勤勉尽职，提供高效、专业的法律服务。</w:t>
      </w:r>
    </w:p>
    <w:p w14:paraId="15FDAB84">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 对具体服务项目内容保密。</w:t>
      </w:r>
    </w:p>
    <w:p w14:paraId="013AC429">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4.3 就具体服务项目办结后</w:t>
      </w:r>
      <w:r>
        <w:rPr>
          <w:rFonts w:hint="default" w:ascii="仿宋_GB2312" w:hAnsi="仿宋_GB2312" w:eastAsia="仿宋_GB2312" w:cs="仿宋_GB2312"/>
          <w:color w:val="auto"/>
          <w:sz w:val="32"/>
          <w:szCs w:val="32"/>
          <w:lang w:val="en-US" w:eastAsia="zh-CN"/>
        </w:rPr>
        <w:t>按规定提交</w:t>
      </w:r>
      <w:r>
        <w:rPr>
          <w:rFonts w:hint="eastAsia" w:ascii="仿宋_GB2312" w:hAnsi="仿宋_GB2312" w:eastAsia="仿宋_GB2312" w:cs="仿宋_GB2312"/>
          <w:color w:val="auto"/>
          <w:sz w:val="32"/>
          <w:szCs w:val="32"/>
          <w:lang w:val="en-US" w:eastAsia="zh-CN"/>
        </w:rPr>
        <w:t>实时综合</w:t>
      </w:r>
      <w:r>
        <w:rPr>
          <w:rFonts w:hint="default" w:ascii="仿宋_GB2312" w:hAnsi="仿宋_GB2312" w:eastAsia="仿宋_GB2312" w:cs="仿宋_GB2312"/>
          <w:color w:val="auto"/>
          <w:sz w:val="32"/>
          <w:szCs w:val="32"/>
          <w:lang w:val="en-US" w:eastAsia="zh-CN"/>
        </w:rPr>
        <w:t>考评资料</w:t>
      </w:r>
      <w:r>
        <w:rPr>
          <w:rFonts w:hint="eastAsia" w:ascii="仿宋_GB2312" w:hAnsi="仿宋_GB2312" w:eastAsia="仿宋_GB2312" w:cs="仿宋_GB2312"/>
          <w:color w:val="auto"/>
          <w:sz w:val="32"/>
          <w:szCs w:val="32"/>
          <w:lang w:val="en-US" w:eastAsia="zh-CN"/>
        </w:rPr>
        <w:t>。</w:t>
      </w:r>
    </w:p>
    <w:p w14:paraId="049960BA">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4.4 就甲方“三重一大”事项或重大法律纠纷案件、涉法事项进行研讨分析，发表法律意见。</w:t>
      </w:r>
    </w:p>
    <w:p w14:paraId="0021D075">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4.5 积极回复甲方的相关问题。</w:t>
      </w:r>
    </w:p>
    <w:p w14:paraId="55AA5845">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4.6 办理其他甲方交办的相关事宜。</w:t>
      </w:r>
    </w:p>
    <w:p w14:paraId="20AB95BB">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费用约定</w:t>
      </w:r>
    </w:p>
    <w:p w14:paraId="051085FB">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5.1 甲方应当根据具体服务项目约定，及时支付服务费用。</w:t>
      </w:r>
    </w:p>
    <w:p w14:paraId="1EFA3E73">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 xml:space="preserve">5.2 </w:t>
      </w:r>
      <w:r>
        <w:rPr>
          <w:rFonts w:hint="eastAsia" w:ascii="仿宋_GB2312" w:hAnsi="仿宋_GB2312" w:eastAsia="仿宋_GB2312" w:cs="仿宋_GB2312"/>
          <w:b/>
          <w:bCs/>
          <w:color w:val="auto"/>
          <w:sz w:val="32"/>
          <w:szCs w:val="32"/>
          <w:lang w:val="en-US" w:eastAsia="zh-CN"/>
        </w:rPr>
        <w:t>乙方承诺：</w:t>
      </w:r>
      <w:r>
        <w:rPr>
          <w:rFonts w:hint="eastAsia" w:ascii="仿宋_GB2312" w:hAnsi="仿宋_GB2312" w:eastAsia="仿宋_GB2312" w:cs="仿宋_GB2312"/>
          <w:color w:val="auto"/>
          <w:sz w:val="32"/>
          <w:szCs w:val="32"/>
          <w:u w:val="single"/>
          <w:lang w:val="en-US" w:eastAsia="zh-CN"/>
        </w:rPr>
        <w:t>承办甲方具体服务项目，服务收费不超过依据《海南省律师协会 关于更正〈海南省律师服务收费指引〉的通知》琼律协通﹝2020﹞58号 第八条至第十二条标准，不超过依据《司法部 国家发展和改革委员会 国家市场监督管理总局 印发&lt;关于进一步规范律师服务收费的意见&gt;的通知》司发通﹝2021﹞87号 第三条第（六）项标准。</w:t>
      </w:r>
    </w:p>
    <w:p w14:paraId="33A1FAEA">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违约责任</w:t>
      </w:r>
    </w:p>
    <w:p w14:paraId="71653B6F">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乙方</w:t>
      </w:r>
      <w:r>
        <w:rPr>
          <w:rFonts w:hint="default" w:ascii="仿宋_GB2312" w:hAnsi="仿宋_GB2312" w:eastAsia="仿宋_GB2312" w:cs="仿宋_GB2312"/>
          <w:color w:val="auto"/>
          <w:sz w:val="32"/>
          <w:szCs w:val="32"/>
          <w:lang w:val="en-US" w:eastAsia="zh-CN"/>
        </w:rPr>
        <w:t>有下述情形之一的，</w:t>
      </w:r>
      <w:r>
        <w:rPr>
          <w:rFonts w:hint="eastAsia" w:ascii="仿宋_GB2312" w:hAnsi="仿宋_GB2312" w:eastAsia="仿宋_GB2312" w:cs="仿宋_GB2312"/>
          <w:color w:val="auto"/>
          <w:sz w:val="32"/>
          <w:szCs w:val="32"/>
          <w:lang w:val="en-US" w:eastAsia="zh-CN"/>
        </w:rPr>
        <w:t>甲方有权单方</w:t>
      </w:r>
      <w:r>
        <w:rPr>
          <w:rFonts w:hint="default" w:ascii="仿宋_GB2312" w:hAnsi="仿宋_GB2312" w:eastAsia="仿宋_GB2312" w:cs="仿宋_GB2312"/>
          <w:color w:val="auto"/>
          <w:sz w:val="32"/>
          <w:szCs w:val="32"/>
          <w:lang w:val="en-US" w:eastAsia="zh-CN"/>
        </w:rPr>
        <w:t>解除</w:t>
      </w:r>
      <w:r>
        <w:rPr>
          <w:rFonts w:hint="eastAsia" w:ascii="仿宋_GB2312" w:hAnsi="仿宋_GB2312" w:eastAsia="仿宋_GB2312" w:cs="仿宋_GB2312"/>
          <w:color w:val="auto"/>
          <w:sz w:val="32"/>
          <w:szCs w:val="32"/>
          <w:lang w:val="en-US" w:eastAsia="zh-CN"/>
        </w:rPr>
        <w:t>本合同并</w:t>
      </w:r>
      <w:r>
        <w:rPr>
          <w:rFonts w:hint="default" w:ascii="仿宋_GB2312" w:hAnsi="仿宋_GB2312" w:eastAsia="仿宋_GB2312" w:cs="仿宋_GB2312"/>
          <w:color w:val="auto"/>
          <w:sz w:val="32"/>
          <w:szCs w:val="32"/>
          <w:lang w:val="en-US" w:eastAsia="zh-CN"/>
        </w:rPr>
        <w:t>从</w:t>
      </w:r>
      <w:r>
        <w:rPr>
          <w:rFonts w:hint="eastAsia" w:ascii="仿宋_GB2312" w:hAnsi="仿宋_GB2312" w:eastAsia="仿宋_GB2312" w:cs="仿宋_GB2312"/>
          <w:color w:val="auto"/>
          <w:sz w:val="32"/>
          <w:szCs w:val="32"/>
          <w:lang w:val="en-US" w:eastAsia="zh-CN"/>
        </w:rPr>
        <w:t>备选</w:t>
      </w:r>
      <w:r>
        <w:rPr>
          <w:rFonts w:hint="default" w:ascii="仿宋_GB2312" w:hAnsi="仿宋_GB2312" w:eastAsia="仿宋_GB2312" w:cs="仿宋_GB2312"/>
          <w:color w:val="auto"/>
          <w:sz w:val="32"/>
          <w:szCs w:val="32"/>
          <w:lang w:val="en-US" w:eastAsia="zh-CN"/>
        </w:rPr>
        <w:t>法律服务机构库清退：</w:t>
      </w:r>
    </w:p>
    <w:p w14:paraId="2E26C5E4">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w:t>
      </w:r>
      <w:r>
        <w:rPr>
          <w:rFonts w:hint="default"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未按规定提交考评资料的；</w:t>
      </w:r>
    </w:p>
    <w:p w14:paraId="5810FCE2">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6.2 </w:t>
      </w:r>
      <w:r>
        <w:rPr>
          <w:rFonts w:hint="default" w:ascii="仿宋_GB2312" w:hAnsi="仿宋_GB2312" w:eastAsia="仿宋_GB2312" w:cs="仿宋_GB2312"/>
          <w:color w:val="auto"/>
          <w:sz w:val="32"/>
          <w:szCs w:val="32"/>
          <w:lang w:val="en-US" w:eastAsia="zh-CN"/>
        </w:rPr>
        <w:t>实时综合考评连续三次不称职的；</w:t>
      </w:r>
    </w:p>
    <w:p w14:paraId="43E3DFA8">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6.3 </w:t>
      </w:r>
      <w:r>
        <w:rPr>
          <w:rFonts w:hint="default" w:ascii="仿宋_GB2312" w:hAnsi="仿宋_GB2312" w:eastAsia="仿宋_GB2312" w:cs="仿宋_GB2312"/>
          <w:color w:val="auto"/>
          <w:sz w:val="32"/>
          <w:szCs w:val="32"/>
          <w:lang w:val="en-US" w:eastAsia="zh-CN"/>
        </w:rPr>
        <w:t>违反律师执业利益冲突规定的；</w:t>
      </w:r>
    </w:p>
    <w:p w14:paraId="7B564A61">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6.4 </w:t>
      </w:r>
      <w:r>
        <w:rPr>
          <w:rFonts w:hint="default" w:ascii="仿宋_GB2312" w:hAnsi="仿宋_GB2312" w:eastAsia="仿宋_GB2312" w:cs="仿宋_GB2312"/>
          <w:color w:val="auto"/>
          <w:sz w:val="32"/>
          <w:szCs w:val="32"/>
          <w:lang w:val="en-US" w:eastAsia="zh-CN"/>
        </w:rPr>
        <w:t>因故意或重大过失导致出具法律意见书存在重大遗漏或错误，给</w:t>
      </w:r>
      <w:r>
        <w:rPr>
          <w:rFonts w:hint="eastAsia" w:ascii="仿宋_GB2312" w:hAnsi="仿宋_GB2312" w:eastAsia="仿宋_GB2312" w:cs="仿宋_GB2312"/>
          <w:color w:val="auto"/>
          <w:sz w:val="32"/>
          <w:szCs w:val="32"/>
          <w:lang w:val="en-US" w:eastAsia="zh-CN"/>
        </w:rPr>
        <w:t>甲方</w:t>
      </w:r>
      <w:r>
        <w:rPr>
          <w:rFonts w:hint="default" w:ascii="仿宋_GB2312" w:hAnsi="仿宋_GB2312" w:eastAsia="仿宋_GB2312" w:cs="仿宋_GB2312"/>
          <w:color w:val="auto"/>
          <w:sz w:val="32"/>
          <w:szCs w:val="32"/>
          <w:lang w:val="en-US" w:eastAsia="zh-CN"/>
        </w:rPr>
        <w:t>或第三人造成重大损失的，或者对社会公共利益造成危害的；</w:t>
      </w:r>
    </w:p>
    <w:p w14:paraId="233FF3A8">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6.5 </w:t>
      </w:r>
      <w:r>
        <w:rPr>
          <w:rFonts w:hint="default" w:ascii="仿宋_GB2312" w:hAnsi="仿宋_GB2312" w:eastAsia="仿宋_GB2312" w:cs="仿宋_GB2312"/>
          <w:color w:val="auto"/>
          <w:sz w:val="32"/>
          <w:szCs w:val="32"/>
          <w:lang w:val="en-US" w:eastAsia="zh-CN"/>
        </w:rPr>
        <w:t>利用法律服务机构库成员的便利，牟取</w:t>
      </w:r>
      <w:r>
        <w:rPr>
          <w:rFonts w:hint="eastAsia" w:ascii="仿宋_GB2312" w:hAnsi="仿宋_GB2312" w:eastAsia="仿宋_GB2312" w:cs="仿宋_GB2312"/>
          <w:color w:val="auto"/>
          <w:sz w:val="32"/>
          <w:szCs w:val="32"/>
          <w:lang w:val="en-US" w:eastAsia="zh-CN"/>
        </w:rPr>
        <w:t>甲方</w:t>
      </w:r>
      <w:r>
        <w:rPr>
          <w:rFonts w:hint="default" w:ascii="仿宋_GB2312" w:hAnsi="仿宋_GB2312" w:eastAsia="仿宋_GB2312" w:cs="仿宋_GB2312"/>
          <w:color w:val="auto"/>
          <w:sz w:val="32"/>
          <w:szCs w:val="32"/>
          <w:lang w:val="en-US" w:eastAsia="zh-CN"/>
        </w:rPr>
        <w:t>利益，故意损害</w:t>
      </w:r>
      <w:r>
        <w:rPr>
          <w:rFonts w:hint="eastAsia" w:ascii="仿宋_GB2312" w:hAnsi="仿宋_GB2312" w:eastAsia="仿宋_GB2312" w:cs="仿宋_GB2312"/>
          <w:color w:val="auto"/>
          <w:sz w:val="32"/>
          <w:szCs w:val="32"/>
          <w:lang w:val="en-US" w:eastAsia="zh-CN"/>
        </w:rPr>
        <w:t>甲方</w:t>
      </w:r>
      <w:r>
        <w:rPr>
          <w:rFonts w:hint="default" w:ascii="仿宋_GB2312" w:hAnsi="仿宋_GB2312" w:eastAsia="仿宋_GB2312" w:cs="仿宋_GB2312"/>
          <w:color w:val="auto"/>
          <w:sz w:val="32"/>
          <w:szCs w:val="32"/>
          <w:lang w:val="en-US" w:eastAsia="zh-CN"/>
        </w:rPr>
        <w:t>利益或者与第三人恶意串通损害</w:t>
      </w:r>
      <w:r>
        <w:rPr>
          <w:rFonts w:hint="eastAsia" w:ascii="仿宋_GB2312" w:hAnsi="仿宋_GB2312" w:eastAsia="仿宋_GB2312" w:cs="仿宋_GB2312"/>
          <w:color w:val="auto"/>
          <w:sz w:val="32"/>
          <w:szCs w:val="32"/>
          <w:lang w:val="en-US" w:eastAsia="zh-CN"/>
        </w:rPr>
        <w:t>甲方</w:t>
      </w:r>
      <w:r>
        <w:rPr>
          <w:rFonts w:hint="default" w:ascii="仿宋_GB2312" w:hAnsi="仿宋_GB2312" w:eastAsia="仿宋_GB2312" w:cs="仿宋_GB2312"/>
          <w:color w:val="auto"/>
          <w:sz w:val="32"/>
          <w:szCs w:val="32"/>
          <w:lang w:val="en-US" w:eastAsia="zh-CN"/>
        </w:rPr>
        <w:t>利益的；</w:t>
      </w:r>
    </w:p>
    <w:p w14:paraId="07928677">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6.6 办理甲方具体服务项目期间</w:t>
      </w:r>
      <w:r>
        <w:rPr>
          <w:rFonts w:hint="default" w:ascii="仿宋_GB2312" w:hAnsi="仿宋_GB2312" w:eastAsia="仿宋_GB2312" w:cs="仿宋_GB2312"/>
          <w:color w:val="auto"/>
          <w:sz w:val="32"/>
          <w:szCs w:val="32"/>
          <w:lang w:val="en-US" w:eastAsia="zh-CN"/>
        </w:rPr>
        <w:t>越权代理、消极代理、未履行尽职调查义务或者适用法律严重错误等，给</w:t>
      </w:r>
      <w:r>
        <w:rPr>
          <w:rFonts w:hint="eastAsia" w:ascii="仿宋_GB2312" w:hAnsi="仿宋_GB2312" w:eastAsia="仿宋_GB2312" w:cs="仿宋_GB2312"/>
          <w:color w:val="auto"/>
          <w:sz w:val="32"/>
          <w:szCs w:val="32"/>
          <w:lang w:val="en-US" w:eastAsia="zh-CN"/>
        </w:rPr>
        <w:t>甲方</w:t>
      </w:r>
      <w:r>
        <w:rPr>
          <w:rFonts w:hint="default" w:ascii="仿宋_GB2312" w:hAnsi="仿宋_GB2312" w:eastAsia="仿宋_GB2312" w:cs="仿宋_GB2312"/>
          <w:color w:val="auto"/>
          <w:sz w:val="32"/>
          <w:szCs w:val="32"/>
          <w:lang w:val="en-US" w:eastAsia="zh-CN"/>
        </w:rPr>
        <w:t>造成损失或不利影响的；</w:t>
      </w:r>
    </w:p>
    <w:p w14:paraId="589FEB1C">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6.7 </w:t>
      </w:r>
      <w:r>
        <w:rPr>
          <w:rFonts w:hint="default" w:ascii="仿宋_GB2312" w:hAnsi="仿宋_GB2312" w:eastAsia="仿宋_GB2312" w:cs="仿宋_GB2312"/>
          <w:color w:val="auto"/>
          <w:sz w:val="32"/>
          <w:szCs w:val="32"/>
          <w:lang w:val="en-US" w:eastAsia="zh-CN"/>
        </w:rPr>
        <w:t>泄露</w:t>
      </w:r>
      <w:r>
        <w:rPr>
          <w:rFonts w:hint="eastAsia" w:ascii="仿宋_GB2312" w:hAnsi="仿宋_GB2312" w:eastAsia="仿宋_GB2312" w:cs="仿宋_GB2312"/>
          <w:color w:val="auto"/>
          <w:sz w:val="32"/>
          <w:szCs w:val="32"/>
          <w:lang w:val="en-US" w:eastAsia="zh-CN"/>
        </w:rPr>
        <w:t>甲方</w:t>
      </w:r>
      <w:r>
        <w:rPr>
          <w:rFonts w:hint="default" w:ascii="仿宋_GB2312" w:hAnsi="仿宋_GB2312" w:eastAsia="仿宋_GB2312" w:cs="仿宋_GB2312"/>
          <w:color w:val="auto"/>
          <w:sz w:val="32"/>
          <w:szCs w:val="32"/>
          <w:lang w:val="en-US" w:eastAsia="zh-CN"/>
        </w:rPr>
        <w:t>的国家秘密、商业秘密的；</w:t>
      </w:r>
    </w:p>
    <w:p w14:paraId="3401C478">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6.8 </w:t>
      </w:r>
      <w:r>
        <w:rPr>
          <w:rFonts w:hint="default" w:ascii="仿宋_GB2312" w:hAnsi="仿宋_GB2312" w:eastAsia="仿宋_GB2312" w:cs="仿宋_GB2312"/>
          <w:color w:val="auto"/>
          <w:sz w:val="32"/>
          <w:szCs w:val="32"/>
          <w:lang w:val="en-US" w:eastAsia="zh-CN"/>
        </w:rPr>
        <w:t>哄骗、唆使</w:t>
      </w:r>
      <w:r>
        <w:rPr>
          <w:rFonts w:hint="eastAsia" w:ascii="仿宋_GB2312" w:hAnsi="仿宋_GB2312" w:eastAsia="仿宋_GB2312" w:cs="仿宋_GB2312"/>
          <w:color w:val="auto"/>
          <w:sz w:val="32"/>
          <w:szCs w:val="32"/>
          <w:lang w:val="en-US" w:eastAsia="zh-CN"/>
        </w:rPr>
        <w:t>甲方</w:t>
      </w:r>
      <w:r>
        <w:rPr>
          <w:rFonts w:hint="default" w:ascii="仿宋_GB2312" w:hAnsi="仿宋_GB2312" w:eastAsia="仿宋_GB2312" w:cs="仿宋_GB2312"/>
          <w:color w:val="auto"/>
          <w:sz w:val="32"/>
          <w:szCs w:val="32"/>
          <w:lang w:val="en-US" w:eastAsia="zh-CN"/>
        </w:rPr>
        <w:t>提起诉讼，制造、扩大矛盾，影响社会稳定的；</w:t>
      </w:r>
    </w:p>
    <w:p w14:paraId="2F4549A3">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6.9 </w:t>
      </w:r>
      <w:r>
        <w:rPr>
          <w:rFonts w:hint="default" w:ascii="仿宋_GB2312" w:hAnsi="仿宋_GB2312" w:eastAsia="仿宋_GB2312" w:cs="仿宋_GB2312"/>
          <w:color w:val="auto"/>
          <w:sz w:val="32"/>
          <w:szCs w:val="32"/>
          <w:lang w:val="en-US" w:eastAsia="zh-CN"/>
        </w:rPr>
        <w:t>无正当理由，一个工作年度内累计三次以上拒绝参与</w:t>
      </w:r>
      <w:r>
        <w:rPr>
          <w:rFonts w:hint="eastAsia" w:ascii="仿宋_GB2312" w:hAnsi="仿宋_GB2312" w:eastAsia="仿宋_GB2312" w:cs="仿宋_GB2312"/>
          <w:color w:val="auto"/>
          <w:sz w:val="32"/>
          <w:szCs w:val="32"/>
          <w:lang w:val="en-US" w:eastAsia="zh-CN"/>
        </w:rPr>
        <w:t>甲方</w:t>
      </w:r>
      <w:r>
        <w:rPr>
          <w:rFonts w:hint="default" w:ascii="仿宋_GB2312" w:hAnsi="仿宋_GB2312" w:eastAsia="仿宋_GB2312" w:cs="仿宋_GB2312"/>
          <w:color w:val="auto"/>
          <w:sz w:val="32"/>
          <w:szCs w:val="32"/>
          <w:lang w:val="en-US" w:eastAsia="zh-CN"/>
        </w:rPr>
        <w:t>“三重一大”事项或重大法律纠纷案件、涉法事项研讨分析，发表法律意见的；</w:t>
      </w:r>
    </w:p>
    <w:p w14:paraId="23DBE45B">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6.10 </w:t>
      </w:r>
      <w:r>
        <w:rPr>
          <w:rFonts w:hint="default" w:ascii="仿宋_GB2312" w:hAnsi="仿宋_GB2312" w:eastAsia="仿宋_GB2312" w:cs="仿宋_GB2312"/>
          <w:color w:val="auto"/>
          <w:sz w:val="32"/>
          <w:szCs w:val="32"/>
          <w:lang w:val="en-US" w:eastAsia="zh-CN"/>
        </w:rPr>
        <w:t>无正当理由，一个工作年度内累计三次以上拒不参加</w:t>
      </w:r>
      <w:r>
        <w:rPr>
          <w:rFonts w:hint="eastAsia" w:ascii="仿宋_GB2312" w:hAnsi="仿宋_GB2312" w:eastAsia="仿宋_GB2312" w:cs="仿宋_GB2312"/>
          <w:color w:val="auto"/>
          <w:sz w:val="32"/>
          <w:szCs w:val="32"/>
          <w:lang w:val="en-US" w:eastAsia="zh-CN"/>
        </w:rPr>
        <w:t>甲方</w:t>
      </w:r>
      <w:r>
        <w:rPr>
          <w:rFonts w:hint="default" w:ascii="仿宋_GB2312" w:hAnsi="仿宋_GB2312" w:eastAsia="仿宋_GB2312" w:cs="仿宋_GB2312"/>
          <w:color w:val="auto"/>
          <w:sz w:val="32"/>
          <w:szCs w:val="32"/>
          <w:lang w:val="en-US" w:eastAsia="zh-CN"/>
        </w:rPr>
        <w:t>内部选聘律师事务所工作的；</w:t>
      </w:r>
    </w:p>
    <w:p w14:paraId="0AF642C2">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6.11 </w:t>
      </w:r>
      <w:r>
        <w:rPr>
          <w:rFonts w:hint="default" w:ascii="仿宋_GB2312" w:hAnsi="仿宋_GB2312" w:eastAsia="仿宋_GB2312" w:cs="仿宋_GB2312"/>
          <w:color w:val="auto"/>
          <w:sz w:val="32"/>
          <w:szCs w:val="32"/>
          <w:lang w:val="en-US" w:eastAsia="zh-CN"/>
        </w:rPr>
        <w:t>其他违反律师执业纪律和</w:t>
      </w:r>
      <w:r>
        <w:rPr>
          <w:rFonts w:hint="eastAsia" w:ascii="仿宋_GB2312" w:hAnsi="仿宋_GB2312" w:eastAsia="仿宋_GB2312" w:cs="仿宋_GB2312"/>
          <w:color w:val="auto"/>
          <w:sz w:val="32"/>
          <w:szCs w:val="32"/>
          <w:lang w:val="en-US" w:eastAsia="zh-CN"/>
        </w:rPr>
        <w:t>甲方</w:t>
      </w:r>
      <w:r>
        <w:rPr>
          <w:rFonts w:hint="default" w:ascii="仿宋_GB2312" w:hAnsi="仿宋_GB2312" w:eastAsia="仿宋_GB2312" w:cs="仿宋_GB2312"/>
          <w:color w:val="auto"/>
          <w:sz w:val="32"/>
          <w:szCs w:val="32"/>
          <w:lang w:val="en-US" w:eastAsia="zh-CN"/>
        </w:rPr>
        <w:t>规定的情形。</w:t>
      </w:r>
    </w:p>
    <w:p w14:paraId="6CE3A584">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保  密</w:t>
      </w:r>
    </w:p>
    <w:p w14:paraId="60EC58DD">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7.1 乙方同意保守在缔结和履行本合同过程中或办理甲方具体服务项目期间获知的甲方内部保密信息，除本合同明确规定或有法律、法规规定应披露的之外，不得以任何方式向第三方披露和不正当使用，否则，应当赔偿因泄露保密信息给甲方造成的损失。</w:t>
      </w:r>
    </w:p>
    <w:p w14:paraId="12D888A7">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7.2 乙方承诺不得以甲方名义开展活动，也不得使用其为甲方提供具体服务项目所得的项目成果进行后续研发、为其他客户服务或用于商业活动。</w:t>
      </w:r>
    </w:p>
    <w:p w14:paraId="7AA52C62">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7.3 乙方应当对其服务团队成员进行必要的保密信息安全技能培训。</w:t>
      </w:r>
    </w:p>
    <w:p w14:paraId="23271785">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7.4 如知悉第三方侵害甲方保密信息的行为，乙方有义务提供线索并配合甲方进行调查取证，协助国资监管机构、司法机关查处侵权行为。</w:t>
      </w:r>
    </w:p>
    <w:p w14:paraId="5B36A957">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不可抗力</w:t>
      </w:r>
    </w:p>
    <w:p w14:paraId="29704252">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8.1 由于发生不能预见、不能避免并不能克服的不可抗力情形，致使直接影响</w:t>
      </w:r>
      <w:r>
        <w:rPr>
          <w:rFonts w:hint="eastAsia" w:ascii="仿宋_GB2312" w:hAnsi="仿宋_GB2312" w:eastAsia="仿宋_GB2312" w:cs="仿宋_GB2312"/>
          <w:color w:val="auto"/>
          <w:sz w:val="32"/>
          <w:szCs w:val="32"/>
          <w:lang w:val="en-US" w:eastAsia="zh-CN"/>
        </w:rPr>
        <w:t>本合同</w:t>
      </w:r>
      <w:r>
        <w:rPr>
          <w:rFonts w:hint="eastAsia" w:ascii="仿宋_GB2312" w:hAnsi="仿宋_GB2312" w:eastAsia="仿宋_GB2312" w:cs="仿宋_GB2312"/>
          <w:b w:val="0"/>
          <w:bCs w:val="0"/>
          <w:color w:val="auto"/>
          <w:sz w:val="32"/>
          <w:szCs w:val="32"/>
          <w:lang w:val="en-US" w:eastAsia="zh-CN"/>
        </w:rPr>
        <w:t>的履行或不能按照</w:t>
      </w:r>
      <w:r>
        <w:rPr>
          <w:rFonts w:hint="eastAsia" w:ascii="仿宋_GB2312" w:hAnsi="仿宋_GB2312" w:eastAsia="仿宋_GB2312" w:cs="仿宋_GB2312"/>
          <w:color w:val="auto"/>
          <w:sz w:val="32"/>
          <w:szCs w:val="32"/>
          <w:lang w:val="en-US" w:eastAsia="zh-CN"/>
        </w:rPr>
        <w:t>本合同</w:t>
      </w:r>
      <w:r>
        <w:rPr>
          <w:rFonts w:hint="eastAsia" w:ascii="仿宋_GB2312" w:hAnsi="仿宋_GB2312" w:eastAsia="仿宋_GB2312" w:cs="仿宋_GB2312"/>
          <w:b w:val="0"/>
          <w:bCs w:val="0"/>
          <w:color w:val="auto"/>
          <w:sz w:val="32"/>
          <w:szCs w:val="32"/>
          <w:lang w:val="en-US" w:eastAsia="zh-CN"/>
        </w:rPr>
        <w:t>项下之约定履行时，遇有不可抗力的一方应当立即书面通知对方，并在发生不可抗力之日起30天内，提供不可抗力详情及</w:t>
      </w:r>
      <w:r>
        <w:rPr>
          <w:rFonts w:hint="eastAsia" w:ascii="仿宋_GB2312" w:hAnsi="仿宋_GB2312" w:eastAsia="仿宋_GB2312" w:cs="仿宋_GB2312"/>
          <w:color w:val="auto"/>
          <w:sz w:val="32"/>
          <w:szCs w:val="32"/>
          <w:lang w:val="en-US" w:eastAsia="zh-CN"/>
        </w:rPr>
        <w:t>本合同</w:t>
      </w:r>
      <w:r>
        <w:rPr>
          <w:rFonts w:hint="eastAsia" w:ascii="仿宋_GB2312" w:hAnsi="仿宋_GB2312" w:eastAsia="仿宋_GB2312" w:cs="仿宋_GB2312"/>
          <w:b w:val="0"/>
          <w:bCs w:val="0"/>
          <w:color w:val="auto"/>
          <w:sz w:val="32"/>
          <w:szCs w:val="32"/>
          <w:lang w:val="en-US" w:eastAsia="zh-CN"/>
        </w:rPr>
        <w:t>不能履行或部分不能履行，或需要延期履行理由的有效书面证明，该项证明文件应当由不可抗力发生地的公证机关出具。</w:t>
      </w:r>
    </w:p>
    <w:p w14:paraId="526E3F07">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8.2 </w:t>
      </w:r>
      <w:r>
        <w:rPr>
          <w:rFonts w:hint="eastAsia" w:ascii="仿宋_GB2312" w:hAnsi="仿宋_GB2312" w:eastAsia="仿宋_GB2312" w:cs="仿宋_GB2312"/>
          <w:color w:val="auto"/>
          <w:sz w:val="32"/>
          <w:szCs w:val="32"/>
          <w:lang w:val="en-US" w:eastAsia="zh-CN"/>
        </w:rPr>
        <w:t>甲、乙双方</w:t>
      </w:r>
      <w:r>
        <w:rPr>
          <w:rFonts w:hint="eastAsia" w:ascii="仿宋_GB2312" w:hAnsi="仿宋_GB2312" w:eastAsia="仿宋_GB2312" w:cs="仿宋_GB2312"/>
          <w:b w:val="0"/>
          <w:bCs w:val="0"/>
          <w:color w:val="auto"/>
          <w:sz w:val="32"/>
          <w:szCs w:val="32"/>
          <w:lang w:val="en-US" w:eastAsia="zh-CN"/>
        </w:rPr>
        <w:t>应当根据不可抗力对</w:t>
      </w:r>
      <w:r>
        <w:rPr>
          <w:rFonts w:hint="eastAsia" w:ascii="仿宋_GB2312" w:hAnsi="仿宋_GB2312" w:eastAsia="仿宋_GB2312" w:cs="仿宋_GB2312"/>
          <w:color w:val="auto"/>
          <w:sz w:val="32"/>
          <w:szCs w:val="32"/>
          <w:lang w:val="en-US" w:eastAsia="zh-CN"/>
        </w:rPr>
        <w:t>本合同</w:t>
      </w:r>
      <w:r>
        <w:rPr>
          <w:rFonts w:hint="eastAsia" w:ascii="仿宋_GB2312" w:hAnsi="仿宋_GB2312" w:eastAsia="仿宋_GB2312" w:cs="仿宋_GB2312"/>
          <w:b w:val="0"/>
          <w:bCs w:val="0"/>
          <w:color w:val="auto"/>
          <w:sz w:val="32"/>
          <w:szCs w:val="32"/>
          <w:lang w:val="en-US" w:eastAsia="zh-CN"/>
        </w:rPr>
        <w:t>的影响程度，协商是否解除</w:t>
      </w:r>
      <w:r>
        <w:rPr>
          <w:rFonts w:hint="eastAsia" w:ascii="仿宋_GB2312" w:hAnsi="仿宋_GB2312" w:eastAsia="仿宋_GB2312" w:cs="仿宋_GB2312"/>
          <w:color w:val="auto"/>
          <w:sz w:val="32"/>
          <w:szCs w:val="32"/>
          <w:lang w:val="en-US" w:eastAsia="zh-CN"/>
        </w:rPr>
        <w:t>本合同</w:t>
      </w:r>
      <w:r>
        <w:rPr>
          <w:rFonts w:hint="eastAsia" w:ascii="仿宋_GB2312" w:hAnsi="仿宋_GB2312" w:eastAsia="仿宋_GB2312" w:cs="仿宋_GB2312"/>
          <w:b w:val="0"/>
          <w:bCs w:val="0"/>
          <w:color w:val="auto"/>
          <w:sz w:val="32"/>
          <w:szCs w:val="32"/>
          <w:lang w:val="en-US" w:eastAsia="zh-CN"/>
        </w:rPr>
        <w:t>或部分、全部免除履行</w:t>
      </w:r>
      <w:r>
        <w:rPr>
          <w:rFonts w:hint="eastAsia" w:ascii="仿宋_GB2312" w:hAnsi="仿宋_GB2312" w:eastAsia="仿宋_GB2312" w:cs="仿宋_GB2312"/>
          <w:color w:val="auto"/>
          <w:sz w:val="32"/>
          <w:szCs w:val="32"/>
          <w:lang w:val="en-US" w:eastAsia="zh-CN"/>
        </w:rPr>
        <w:t>本合同</w:t>
      </w:r>
      <w:r>
        <w:rPr>
          <w:rFonts w:hint="eastAsia" w:ascii="仿宋_GB2312" w:hAnsi="仿宋_GB2312" w:eastAsia="仿宋_GB2312" w:cs="仿宋_GB2312"/>
          <w:b w:val="0"/>
          <w:bCs w:val="0"/>
          <w:color w:val="auto"/>
          <w:sz w:val="32"/>
          <w:szCs w:val="32"/>
          <w:lang w:val="en-US" w:eastAsia="zh-CN"/>
        </w:rPr>
        <w:t>的责任，或延期履行</w:t>
      </w:r>
      <w:r>
        <w:rPr>
          <w:rFonts w:hint="eastAsia" w:ascii="仿宋_GB2312" w:hAnsi="仿宋_GB2312" w:eastAsia="仿宋_GB2312" w:cs="仿宋_GB2312"/>
          <w:color w:val="auto"/>
          <w:sz w:val="32"/>
          <w:szCs w:val="32"/>
          <w:lang w:val="en-US" w:eastAsia="zh-CN"/>
        </w:rPr>
        <w:t>本合同</w:t>
      </w:r>
      <w:r>
        <w:rPr>
          <w:rFonts w:hint="eastAsia" w:ascii="仿宋_GB2312" w:hAnsi="仿宋_GB2312" w:eastAsia="仿宋_GB2312" w:cs="仿宋_GB2312"/>
          <w:b w:val="0"/>
          <w:bCs w:val="0"/>
          <w:color w:val="auto"/>
          <w:sz w:val="32"/>
          <w:szCs w:val="32"/>
          <w:lang w:val="en-US" w:eastAsia="zh-CN"/>
        </w:rPr>
        <w:t>。</w:t>
      </w:r>
    </w:p>
    <w:p w14:paraId="09E83B1E">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争议的解决</w:t>
      </w:r>
    </w:p>
    <w:p w14:paraId="278E5F2D">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因</w:t>
      </w:r>
      <w:r>
        <w:rPr>
          <w:rFonts w:hint="eastAsia" w:ascii="仿宋_GB2312" w:hAnsi="仿宋_GB2312" w:eastAsia="仿宋_GB2312" w:cs="仿宋_GB2312"/>
          <w:color w:val="auto"/>
          <w:sz w:val="32"/>
          <w:szCs w:val="32"/>
          <w:lang w:val="en-US" w:eastAsia="zh-CN"/>
        </w:rPr>
        <w:t>本合同</w:t>
      </w:r>
      <w:r>
        <w:rPr>
          <w:rFonts w:hint="eastAsia" w:ascii="仿宋_GB2312" w:hAnsi="仿宋_GB2312" w:eastAsia="仿宋_GB2312" w:cs="仿宋_GB2312"/>
          <w:b w:val="0"/>
          <w:bCs w:val="0"/>
          <w:color w:val="auto"/>
          <w:sz w:val="32"/>
          <w:szCs w:val="32"/>
          <w:lang w:val="en-US" w:eastAsia="zh-CN"/>
        </w:rPr>
        <w:t>引起争议首先应当通过双方友好协商解决；如果不能协商解决，应当向甲方所在地有管辖权的法院提起诉讼。</w:t>
      </w:r>
    </w:p>
    <w:p w14:paraId="00D68435">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合同权利义务的转让</w:t>
      </w:r>
    </w:p>
    <w:p w14:paraId="0D193494">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未经</w:t>
      </w:r>
      <w:r>
        <w:rPr>
          <w:rFonts w:hint="eastAsia" w:ascii="仿宋_GB2312" w:hAnsi="仿宋_GB2312" w:eastAsia="仿宋_GB2312" w:cs="仿宋_GB2312"/>
          <w:color w:val="auto"/>
          <w:sz w:val="32"/>
          <w:szCs w:val="32"/>
          <w:lang w:val="en-US" w:eastAsia="zh-CN"/>
        </w:rPr>
        <w:t>甲</w:t>
      </w:r>
      <w:r>
        <w:rPr>
          <w:rFonts w:hint="eastAsia" w:ascii="仿宋_GB2312" w:hAnsi="仿宋_GB2312" w:eastAsia="仿宋_GB2312" w:cs="仿宋_GB2312"/>
          <w:b w:val="0"/>
          <w:bCs w:val="0"/>
          <w:color w:val="auto"/>
          <w:sz w:val="32"/>
          <w:szCs w:val="32"/>
          <w:lang w:val="en-US" w:eastAsia="zh-CN"/>
        </w:rPr>
        <w:t>方同意，乙方不得将</w:t>
      </w:r>
      <w:r>
        <w:rPr>
          <w:rFonts w:hint="eastAsia" w:ascii="仿宋_GB2312" w:hAnsi="仿宋_GB2312" w:eastAsia="仿宋_GB2312" w:cs="仿宋_GB2312"/>
          <w:color w:val="auto"/>
          <w:sz w:val="32"/>
          <w:szCs w:val="32"/>
          <w:lang w:val="en-US" w:eastAsia="zh-CN"/>
        </w:rPr>
        <w:t>本合同</w:t>
      </w:r>
      <w:r>
        <w:rPr>
          <w:rFonts w:hint="eastAsia" w:ascii="仿宋_GB2312" w:hAnsi="仿宋_GB2312" w:eastAsia="仿宋_GB2312" w:cs="仿宋_GB2312"/>
          <w:b w:val="0"/>
          <w:bCs w:val="0"/>
          <w:color w:val="auto"/>
          <w:sz w:val="32"/>
          <w:szCs w:val="32"/>
          <w:lang w:val="en-US" w:eastAsia="zh-CN"/>
        </w:rPr>
        <w:t>约定的权利和义务部分或全部转让给第三方或委托第三方代理。</w:t>
      </w:r>
    </w:p>
    <w:p w14:paraId="04C7826C">
      <w:pPr>
        <w:keepNext w:val="0"/>
        <w:keepLines w:val="0"/>
        <w:pageBreakBefore w:val="0"/>
        <w:widowControl/>
        <w:numPr>
          <w:ilvl w:val="0"/>
          <w:numId w:val="10"/>
        </w:numPr>
        <w:kinsoku/>
        <w:wordWrap w:val="0"/>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合同的生效及其他</w:t>
      </w:r>
    </w:p>
    <w:p w14:paraId="184B60F9">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11.1 </w:t>
      </w:r>
      <w:r>
        <w:rPr>
          <w:rFonts w:hint="eastAsia" w:ascii="仿宋_GB2312" w:hAnsi="仿宋_GB2312" w:eastAsia="仿宋_GB2312" w:cs="仿宋_GB2312"/>
          <w:color w:val="auto"/>
          <w:sz w:val="32"/>
          <w:szCs w:val="32"/>
          <w:lang w:val="en-US" w:eastAsia="zh-CN"/>
        </w:rPr>
        <w:t>本合同</w:t>
      </w:r>
      <w:r>
        <w:rPr>
          <w:rFonts w:hint="eastAsia" w:ascii="仿宋_GB2312" w:hAnsi="仿宋_GB2312" w:eastAsia="仿宋_GB2312" w:cs="仿宋_GB2312"/>
          <w:b w:val="0"/>
          <w:bCs w:val="0"/>
          <w:color w:val="auto"/>
          <w:sz w:val="32"/>
          <w:szCs w:val="32"/>
          <w:lang w:val="en-US" w:eastAsia="zh-CN"/>
        </w:rPr>
        <w:t>自甲、乙双方签订之日起生效。本合同一式贰份，甲方壹份，乙方壹份。</w:t>
      </w:r>
    </w:p>
    <w:p w14:paraId="707EB9D8">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11.2 本合同未尽事宜，按中华人民共和国有关法律、法规办理。</w:t>
      </w:r>
    </w:p>
    <w:p w14:paraId="33C48516">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11.3 本合同附件为本合同不可分割的组成部分，与本合同具有同等法律效力。</w:t>
      </w:r>
    </w:p>
    <w:p w14:paraId="50D4DF8D">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p>
    <w:tbl>
      <w:tblPr>
        <w:tblStyle w:val="29"/>
        <w:tblpPr w:leftFromText="180" w:rightFromText="180" w:vertAnchor="text" w:horzAnchor="page" w:tblpXSpec="center" w:tblpY="318"/>
        <w:tblOverlap w:val="never"/>
        <w:tblW w:w="90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508"/>
        <w:gridCol w:w="4511"/>
      </w:tblGrid>
      <w:tr w14:paraId="6A004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7" w:hRule="atLeast"/>
          <w:jc w:val="center"/>
        </w:trPr>
        <w:tc>
          <w:tcPr>
            <w:tcW w:w="4508" w:type="dxa"/>
            <w:vAlign w:val="center"/>
          </w:tcPr>
          <w:p w14:paraId="061EAA06">
            <w:pPr>
              <w:keepNext w:val="0"/>
              <w:keepLines w:val="0"/>
              <w:pageBreakBefore w:val="0"/>
              <w:widowControl/>
              <w:tabs>
                <w:tab w:val="left" w:pos="1785"/>
              </w:tabs>
              <w:kinsoku/>
              <w:wordWrap w:val="0"/>
              <w:overflowPunct w:val="0"/>
              <w:topLinePunct w:val="0"/>
              <w:autoSpaceDE w:val="0"/>
              <w:autoSpaceDN w:val="0"/>
              <w:bidi w:val="0"/>
              <w:adjustRightInd/>
              <w:snapToGrid/>
              <w:spacing w:line="560" w:lineRule="exact"/>
              <w:ind w:left="0" w:leftChars="0" w:right="0" w:rightChars="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甲</w:t>
            </w:r>
            <w:r>
              <w:rPr>
                <w:rFonts w:hint="eastAsia" w:ascii="仿宋_GB2312" w:hAnsi="仿宋_GB2312" w:eastAsia="仿宋_GB2312" w:cs="仿宋_GB2312"/>
                <w:color w:val="auto"/>
                <w:sz w:val="32"/>
                <w:szCs w:val="32"/>
                <w:lang w:val="en-US" w:eastAsia="zh-CN" w:bidi="zh-CN"/>
              </w:rPr>
              <w:t xml:space="preserve">    </w:t>
            </w:r>
            <w:r>
              <w:rPr>
                <w:rFonts w:hint="eastAsia" w:ascii="仿宋_GB2312" w:hAnsi="仿宋_GB2312" w:eastAsia="仿宋_GB2312" w:cs="仿宋_GB2312"/>
                <w:color w:val="auto"/>
                <w:sz w:val="32"/>
                <w:szCs w:val="32"/>
                <w:lang w:val="zh-CN" w:eastAsia="zh-CN" w:bidi="zh-CN"/>
              </w:rPr>
              <w:t>方：</w:t>
            </w:r>
          </w:p>
        </w:tc>
        <w:tc>
          <w:tcPr>
            <w:tcW w:w="4511" w:type="dxa"/>
            <w:vAlign w:val="center"/>
          </w:tcPr>
          <w:p w14:paraId="70D9746D">
            <w:pPr>
              <w:keepNext w:val="0"/>
              <w:keepLines w:val="0"/>
              <w:pageBreakBefore w:val="0"/>
              <w:widowControl/>
              <w:tabs>
                <w:tab w:val="left" w:pos="1785"/>
              </w:tabs>
              <w:kinsoku/>
              <w:wordWrap w:val="0"/>
              <w:overflowPunct w:val="0"/>
              <w:topLinePunct w:val="0"/>
              <w:autoSpaceDE w:val="0"/>
              <w:autoSpaceDN w:val="0"/>
              <w:bidi w:val="0"/>
              <w:adjustRightInd/>
              <w:snapToGrid/>
              <w:spacing w:line="560" w:lineRule="exact"/>
              <w:ind w:left="0" w:leftChars="0" w:right="0" w:rightChars="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en-US" w:eastAsia="zh-CN" w:bidi="zh-CN"/>
              </w:rPr>
              <w:t xml:space="preserve">乙    </w:t>
            </w:r>
            <w:r>
              <w:rPr>
                <w:rFonts w:hint="eastAsia" w:ascii="仿宋_GB2312" w:hAnsi="仿宋_GB2312" w:eastAsia="仿宋_GB2312" w:cs="仿宋_GB2312"/>
                <w:color w:val="auto"/>
                <w:sz w:val="32"/>
                <w:szCs w:val="32"/>
                <w:lang w:val="zh-CN" w:eastAsia="zh-CN" w:bidi="zh-CN"/>
              </w:rPr>
              <w:t>方：</w:t>
            </w:r>
          </w:p>
        </w:tc>
      </w:tr>
      <w:tr w14:paraId="38580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8" w:hRule="atLeast"/>
          <w:jc w:val="center"/>
        </w:trPr>
        <w:tc>
          <w:tcPr>
            <w:tcW w:w="4508" w:type="dxa"/>
            <w:vAlign w:val="center"/>
          </w:tcPr>
          <w:p w14:paraId="6274A894">
            <w:pPr>
              <w:keepNext w:val="0"/>
              <w:keepLines w:val="0"/>
              <w:pageBreakBefore w:val="0"/>
              <w:widowControl/>
              <w:kinsoku/>
              <w:wordWrap w:val="0"/>
              <w:overflowPunct w:val="0"/>
              <w:topLinePunct w:val="0"/>
              <w:autoSpaceDE w:val="0"/>
              <w:autoSpaceDN w:val="0"/>
              <w:bidi w:val="0"/>
              <w:adjustRightInd/>
              <w:snapToGrid/>
              <w:spacing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法定代表人：</w:t>
            </w:r>
          </w:p>
        </w:tc>
        <w:tc>
          <w:tcPr>
            <w:tcW w:w="4511" w:type="dxa"/>
            <w:vAlign w:val="center"/>
          </w:tcPr>
          <w:p w14:paraId="3C0338A5">
            <w:pPr>
              <w:keepNext w:val="0"/>
              <w:keepLines w:val="0"/>
              <w:pageBreakBefore w:val="0"/>
              <w:widowControl/>
              <w:kinsoku/>
              <w:wordWrap w:val="0"/>
              <w:overflowPunct w:val="0"/>
              <w:topLinePunct w:val="0"/>
              <w:autoSpaceDE w:val="0"/>
              <w:autoSpaceDN w:val="0"/>
              <w:bidi w:val="0"/>
              <w:adjustRightInd/>
              <w:snapToGrid/>
              <w:spacing w:line="560" w:lineRule="exact"/>
              <w:ind w:left="0" w:leftChars="0" w:right="0" w:rightChars="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color w:val="auto"/>
                <w:sz w:val="32"/>
                <w:szCs w:val="32"/>
                <w:lang w:val="zh-CN" w:eastAsia="zh-CN" w:bidi="zh-CN"/>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zh-CN" w:eastAsia="zh-CN" w:bidi="zh-CN"/>
              </w:rPr>
              <w:t>：</w:t>
            </w:r>
          </w:p>
        </w:tc>
      </w:tr>
      <w:tr w14:paraId="64C4E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jc w:val="center"/>
        </w:trPr>
        <w:tc>
          <w:tcPr>
            <w:tcW w:w="4508" w:type="dxa"/>
            <w:vAlign w:val="center"/>
          </w:tcPr>
          <w:p w14:paraId="0FE7DAD5">
            <w:pPr>
              <w:keepNext w:val="0"/>
              <w:keepLines w:val="0"/>
              <w:pageBreakBefore w:val="0"/>
              <w:widowControl/>
              <w:kinsoku/>
              <w:wordWrap w:val="0"/>
              <w:overflowPunct w:val="0"/>
              <w:topLinePunct w:val="0"/>
              <w:autoSpaceDE w:val="0"/>
              <w:autoSpaceDN w:val="0"/>
              <w:bidi w:val="0"/>
              <w:adjustRightInd/>
              <w:snapToGrid/>
              <w:spacing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b w:val="0"/>
                <w:bCs w:val="0"/>
                <w:color w:val="auto"/>
                <w:sz w:val="32"/>
                <w:szCs w:val="32"/>
                <w:lang w:val="en-US" w:eastAsia="zh-CN"/>
              </w:rPr>
              <w:t>联 系 人</w:t>
            </w:r>
            <w:r>
              <w:rPr>
                <w:rFonts w:hint="eastAsia" w:ascii="仿宋_GB2312" w:hAnsi="仿宋_GB2312" w:eastAsia="仿宋_GB2312" w:cs="仿宋_GB2312"/>
                <w:color w:val="auto"/>
                <w:sz w:val="32"/>
                <w:szCs w:val="32"/>
                <w:lang w:val="zh-CN" w:eastAsia="zh-CN" w:bidi="zh-CN"/>
              </w:rPr>
              <w:t>：</w:t>
            </w:r>
          </w:p>
        </w:tc>
        <w:tc>
          <w:tcPr>
            <w:tcW w:w="4511" w:type="dxa"/>
            <w:vAlign w:val="center"/>
          </w:tcPr>
          <w:p w14:paraId="0BA34017">
            <w:pPr>
              <w:keepNext w:val="0"/>
              <w:keepLines w:val="0"/>
              <w:pageBreakBefore w:val="0"/>
              <w:widowControl/>
              <w:kinsoku/>
              <w:wordWrap w:val="0"/>
              <w:overflowPunct w:val="0"/>
              <w:topLinePunct w:val="0"/>
              <w:autoSpaceDE w:val="0"/>
              <w:autoSpaceDN w:val="0"/>
              <w:bidi w:val="0"/>
              <w:adjustRightInd/>
              <w:snapToGrid/>
              <w:spacing w:line="560" w:lineRule="exact"/>
              <w:ind w:left="0" w:leftChars="0" w:right="0" w:rightChars="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b w:val="0"/>
                <w:bCs w:val="0"/>
                <w:color w:val="auto"/>
                <w:sz w:val="32"/>
                <w:szCs w:val="32"/>
                <w:lang w:val="en-US" w:eastAsia="zh-CN"/>
              </w:rPr>
              <w:t>联 系 人</w:t>
            </w:r>
            <w:r>
              <w:rPr>
                <w:rFonts w:hint="eastAsia" w:ascii="仿宋_GB2312" w:hAnsi="仿宋_GB2312" w:eastAsia="仿宋_GB2312" w:cs="仿宋_GB2312"/>
                <w:color w:val="auto"/>
                <w:sz w:val="32"/>
                <w:szCs w:val="32"/>
                <w:lang w:val="zh-CN" w:eastAsia="zh-CN" w:bidi="zh-CN"/>
              </w:rPr>
              <w:t>：</w:t>
            </w:r>
          </w:p>
        </w:tc>
      </w:tr>
      <w:tr w14:paraId="7A3D7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7" w:hRule="atLeast"/>
          <w:jc w:val="center"/>
        </w:trPr>
        <w:tc>
          <w:tcPr>
            <w:tcW w:w="4508" w:type="dxa"/>
            <w:vAlign w:val="center"/>
          </w:tcPr>
          <w:p w14:paraId="1CB362B5">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b w:val="0"/>
                <w:bCs w:val="0"/>
                <w:color w:val="auto"/>
                <w:sz w:val="32"/>
                <w:szCs w:val="32"/>
                <w:lang w:val="en-US" w:eastAsia="zh-CN"/>
              </w:rPr>
              <w:t>联系电话：</w:t>
            </w:r>
          </w:p>
        </w:tc>
        <w:tc>
          <w:tcPr>
            <w:tcW w:w="4511" w:type="dxa"/>
            <w:vAlign w:val="center"/>
          </w:tcPr>
          <w:p w14:paraId="7D3C3B34">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b w:val="0"/>
                <w:bCs w:val="0"/>
                <w:color w:val="auto"/>
                <w:sz w:val="32"/>
                <w:szCs w:val="32"/>
                <w:lang w:val="en-US" w:eastAsia="zh-CN"/>
              </w:rPr>
              <w:t>联系电话：</w:t>
            </w:r>
          </w:p>
        </w:tc>
      </w:tr>
      <w:tr w14:paraId="087E8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5" w:hRule="atLeast"/>
          <w:jc w:val="center"/>
        </w:trPr>
        <w:tc>
          <w:tcPr>
            <w:tcW w:w="4508" w:type="dxa"/>
            <w:vAlign w:val="center"/>
          </w:tcPr>
          <w:p w14:paraId="5EE7EB04">
            <w:pPr>
              <w:keepNext w:val="0"/>
              <w:keepLines w:val="0"/>
              <w:pageBreakBefore w:val="0"/>
              <w:widowControl/>
              <w:kinsoku/>
              <w:wordWrap w:val="0"/>
              <w:overflowPunct w:val="0"/>
              <w:topLinePunct w:val="0"/>
              <w:autoSpaceDE w:val="0"/>
              <w:autoSpaceDN w:val="0"/>
              <w:bidi w:val="0"/>
              <w:adjustRightInd/>
              <w:snapToGrid/>
              <w:spacing w:line="560" w:lineRule="exact"/>
              <w:ind w:left="0" w:right="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b w:val="0"/>
                <w:bCs w:val="0"/>
                <w:color w:val="auto"/>
                <w:sz w:val="32"/>
                <w:szCs w:val="32"/>
                <w:lang w:val="en-US" w:eastAsia="zh-CN"/>
              </w:rPr>
              <w:t>传真号码：</w:t>
            </w:r>
          </w:p>
        </w:tc>
        <w:tc>
          <w:tcPr>
            <w:tcW w:w="4511" w:type="dxa"/>
            <w:vAlign w:val="center"/>
          </w:tcPr>
          <w:p w14:paraId="3DC49A98">
            <w:pPr>
              <w:keepNext w:val="0"/>
              <w:keepLines w:val="0"/>
              <w:pageBreakBefore w:val="0"/>
              <w:widowControl/>
              <w:kinsoku/>
              <w:wordWrap w:val="0"/>
              <w:overflowPunct w:val="0"/>
              <w:topLinePunct w:val="0"/>
              <w:autoSpaceDE w:val="0"/>
              <w:autoSpaceDN w:val="0"/>
              <w:bidi w:val="0"/>
              <w:adjustRightInd/>
              <w:snapToGrid/>
              <w:spacing w:line="560" w:lineRule="exact"/>
              <w:ind w:left="0" w:leftChars="0" w:right="0" w:rightChars="0"/>
              <w:jc w:val="both"/>
              <w:textAlignment w:val="auto"/>
              <w:rPr>
                <w:rFonts w:hint="eastAsia" w:ascii="仿宋_GB2312" w:hAnsi="仿宋_GB2312" w:eastAsia="仿宋_GB2312" w:cs="仿宋_GB2312"/>
                <w:color w:val="auto"/>
                <w:sz w:val="32"/>
                <w:szCs w:val="32"/>
                <w:lang w:val="zh-CN" w:eastAsia="zh-CN" w:bidi="zh-CN"/>
              </w:rPr>
            </w:pPr>
            <w:r>
              <w:rPr>
                <w:rFonts w:hint="eastAsia" w:ascii="仿宋_GB2312" w:hAnsi="仿宋_GB2312" w:eastAsia="仿宋_GB2312" w:cs="仿宋_GB2312"/>
                <w:b w:val="0"/>
                <w:bCs w:val="0"/>
                <w:color w:val="auto"/>
                <w:sz w:val="32"/>
                <w:szCs w:val="32"/>
                <w:lang w:val="en-US" w:eastAsia="zh-CN"/>
              </w:rPr>
              <w:t>传真号码：</w:t>
            </w:r>
          </w:p>
        </w:tc>
      </w:tr>
    </w:tbl>
    <w:p w14:paraId="4DD0D46E">
      <w:pPr>
        <w:pStyle w:val="12"/>
        <w:keepNext w:val="0"/>
        <w:keepLines w:val="0"/>
        <w:pageBreakBefore w:val="0"/>
        <w:widowControl/>
        <w:tabs>
          <w:tab w:val="left" w:pos="7183"/>
          <w:tab w:val="left" w:pos="8162"/>
          <w:tab w:val="left" w:pos="9002"/>
        </w:tabs>
        <w:kinsoku/>
        <w:wordWrap w:val="0"/>
        <w:overflowPunct w:val="0"/>
        <w:topLinePunct w:val="0"/>
        <w:bidi w:val="0"/>
        <w:adjustRightInd/>
        <w:snapToGrid/>
        <w:spacing w:line="560" w:lineRule="exact"/>
        <w:ind w:left="0"/>
        <w:jc w:val="both"/>
        <w:textAlignment w:val="auto"/>
        <w:rPr>
          <w:rFonts w:hint="eastAsia" w:ascii="仿宋_GB2312" w:hAnsi="仿宋_GB2312" w:eastAsia="仿宋_GB2312" w:cs="仿宋_GB2312"/>
          <w:color w:val="auto"/>
          <w:sz w:val="32"/>
          <w:szCs w:val="32"/>
        </w:rPr>
      </w:pPr>
    </w:p>
    <w:p w14:paraId="7C7C78D9">
      <w:pPr>
        <w:pStyle w:val="12"/>
        <w:keepNext w:val="0"/>
        <w:keepLines w:val="0"/>
        <w:pageBreakBefore w:val="0"/>
        <w:widowControl/>
        <w:tabs>
          <w:tab w:val="left" w:pos="7183"/>
          <w:tab w:val="left" w:pos="8162"/>
          <w:tab w:val="left" w:pos="9002"/>
        </w:tabs>
        <w:kinsoku/>
        <w:wordWrap w:val="0"/>
        <w:overflowPunct w:val="0"/>
        <w:topLinePunct w:val="0"/>
        <w:bidi w:val="0"/>
        <w:adjustRightInd/>
        <w:snapToGrid/>
        <w:spacing w:line="560" w:lineRule="exact"/>
        <w:ind w:left="0"/>
        <w:jc w:val="right"/>
        <w:textAlignment w:val="auto"/>
      </w:pPr>
      <w:r>
        <w:rPr>
          <w:rFonts w:hint="eastAsia" w:ascii="仿宋_GB2312" w:hAnsi="仿宋_GB2312" w:eastAsia="仿宋_GB2312" w:cs="仿宋_GB2312"/>
          <w:color w:val="auto"/>
          <w:sz w:val="32"/>
          <w:szCs w:val="32"/>
        </w:rPr>
        <w:t>签</w:t>
      </w:r>
      <w:r>
        <w:rPr>
          <w:rFonts w:hint="eastAsia" w:ascii="仿宋_GB2312" w:hAnsi="仿宋_GB2312" w:eastAsia="仿宋_GB2312" w:cs="仿宋_GB2312"/>
          <w:color w:val="auto"/>
          <w:sz w:val="32"/>
          <w:szCs w:val="32"/>
          <w:lang w:val="en-US" w:eastAsia="zh-CN"/>
        </w:rPr>
        <w:t>订</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pacing w:val="-3"/>
          <w:sz w:val="32"/>
          <w:szCs w:val="32"/>
        </w:rPr>
        <w:t>期</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p>
    <w:p w14:paraId="42300342">
      <w:pPr>
        <w:keepNext w:val="0"/>
        <w:keepLines w:val="0"/>
        <w:pageBreakBefore w:val="0"/>
        <w:kinsoku/>
        <w:topLinePunct w:val="0"/>
        <w:bidi w:val="0"/>
        <w:adjustRightInd/>
        <w:snapToGrid/>
        <w:spacing w:line="420" w:lineRule="exact"/>
        <w:textAlignment w:val="auto"/>
        <w:rPr>
          <w:rFonts w:hint="eastAsia" w:ascii="宋体" w:hAnsi="宋体"/>
          <w:color w:val="auto"/>
          <w:sz w:val="36"/>
          <w:szCs w:val="36"/>
        </w:rPr>
      </w:pPr>
      <w:r>
        <w:rPr>
          <w:color w:val="auto"/>
          <w:lang w:eastAsia="zh-CN" w:bidi="ar-SA"/>
        </w:rPr>
        <w:br w:type="page"/>
      </w:r>
      <w:bookmarkStart w:id="19" w:name="_Toc81784930"/>
    </w:p>
    <w:bookmarkEnd w:id="18"/>
    <w:bookmarkEnd w:id="19"/>
    <w:p w14:paraId="542971E3">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b w:val="0"/>
          <w:bCs w:val="0"/>
          <w:color w:val="auto"/>
          <w:lang w:val="en-US" w:eastAsia="zh-CN"/>
        </w:rPr>
      </w:pPr>
      <w:bookmarkStart w:id="20" w:name="_Toc23147"/>
      <w:r>
        <w:rPr>
          <w:rFonts w:hint="eastAsia" w:ascii="黑体" w:hAnsi="黑体" w:eastAsia="黑体" w:cs="黑体"/>
          <w:b w:val="0"/>
          <w:bCs w:val="0"/>
          <w:color w:val="auto"/>
          <w:lang w:val="en-US" w:eastAsia="zh-CN"/>
        </w:rPr>
        <mc:AlternateContent>
          <mc:Choice Requires="wps">
            <w:drawing>
              <wp:anchor distT="0" distB="0" distL="114300" distR="114300" simplePos="0" relativeHeight="251659264" behindDoc="0" locked="0" layoutInCell="1" allowOverlap="1">
                <wp:simplePos x="0" y="0"/>
                <wp:positionH relativeFrom="column">
                  <wp:posOffset>4241800</wp:posOffset>
                </wp:positionH>
                <wp:positionV relativeFrom="paragraph">
                  <wp:posOffset>175895</wp:posOffset>
                </wp:positionV>
                <wp:extent cx="1222375" cy="523875"/>
                <wp:effectExtent l="4445" t="4445" r="11430" b="5080"/>
                <wp:wrapNone/>
                <wp:docPr id="6" name="文本框 6"/>
                <wp:cNvGraphicFramePr/>
                <a:graphic xmlns:a="http://schemas.openxmlformats.org/drawingml/2006/main">
                  <a:graphicData uri="http://schemas.microsoft.com/office/word/2010/wordprocessingShape">
                    <wps:wsp>
                      <wps:cNvSpPr txBox="1"/>
                      <wps:spPr>
                        <a:xfrm>
                          <a:off x="5384800" y="1090295"/>
                          <a:ext cx="12223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483126A">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pt;margin-top:13.85pt;height:41.25pt;width:96.25pt;z-index:251659264;mso-width-relative:page;mso-height-relative:page;" fillcolor="#FFFFFF [3201]" filled="t" stroked="t" coordsize="21600,21600" o:gfxdata="UEsDBAoAAAAAAIdO4kAAAAAAAAAAAAAAAAAEAAAAZHJzL1BLAwQUAAAACACHTuJA7Q7J+NcAAAAK&#10;AQAADwAAAGRycy9kb3ducmV2LnhtbE2Py2rDMBBF94X8g5hAd41khyrGtRxooVC6a+pNdoo1sU31&#10;MJISp3/f6apdDnO499xmf3OWXTGmKXgFxUYAQ98HM/lBQff5+lABS1l7o23wqOAbE+zb1V2jaxMW&#10;/4HXQx4YhfhUawVjznPNeepHdDptwoyefucQnc50xoGbqBcKd5aXQkju9OSpYdQzvozYfx0uTsGb&#10;fM5H7My72ZbbsHS8j2eblLpfF+IJWMZb/oPhV5/UoSWnU7h4k5hVIGVFW7KCcrcDRkAlxSOwE5GF&#10;KIG3Df8/of0BUEsDBBQAAAAIAIdO4kBhygFNYwIAAMMEAAAOAAAAZHJzL2Uyb0RvYy54bWytVM1u&#10;2zAMvg/YOwi6r3acpE2DOkXWIsOAYi3QDTsrshwLk0RNUmJ3D7C9wU677L7n6nOMkp3+7tDDclAo&#10;8cNH8iPpk9NOK7ITzkswJR0d5JQIw6GSZlPSTx9Xb2aU+MBMxRQYUdIb4enp4vWrk9bORQENqEo4&#10;giTGz1tb0iYEO88yzxuhmT8AKww6a3CaBby6TVY51iK7VlmR54dZC66yDrjwHl/PeycdGN1LCKGu&#10;JRfnwLdamNCzOqFYwJJ8I62ni5RtXQseLuvai0BUSbHSkE4MgvY6ntnihM03jtlG8iEF9pIUntSk&#10;mTQY9I7qnAVGtk4+o9KSO/BQhwMOOusLSYpgFaP8iTbXDbMi1YJSe3snuv9/tPzD7soRWZX0kBLD&#10;NDb89ueP219/bn9/J4dRntb6OaKuLeJC9xY6HJr9u8fHWHVXOx3/sR6C/ul4NpnlKPENYvPjvDie&#10;9kKLLhAeCYqiGB9NKeGImBbjGdoYKrtnss6HdwI0iUZJHTYy6ct2Fz700D0kBvagZLWSSqWL26zP&#10;lCM7hk1fpd/A/gimDGmx7PE0T8yPfJH7jmKtGP/ynAGzVQaTjgL1QkQrdOtuUG0N1Q2K5qCfOm/5&#10;SiLvBfPhijkcM1QIFzFc4lErwGRgsChpwH3713vEY/fRS0mLY1tS/3XLnKBEvTc4F8ejySTOebpM&#10;pkcFXtxDz/qhx2z1GaBII1x5y5MZ8UHtzdqB/oz7uoxR0cUMx9glDXvzLPTLhPvOxXKZQDjZloUL&#10;c215pI4tMbDcBqhlal2UqddmUA9nOzV/2MO4PA/vCXX/7Vn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0OyfjXAAAACgEAAA8AAAAAAAAAAQAgAAAAIgAAAGRycy9kb3ducmV2LnhtbFBLAQIUABQA&#10;AAAIAIdO4kBhygFNYwIAAMMEAAAOAAAAAAAAAAEAIAAAACYBAABkcnMvZTJvRG9jLnhtbFBLBQYA&#10;AAAABgAGAFkBAAD7BQAAAAA=&#10;">
                <v:fill on="t" focussize="0,0"/>
                <v:stroke weight="0.5pt" color="#000000 [3204]" joinstyle="round"/>
                <v:imagedata o:title=""/>
                <o:lock v:ext="edit" aspectratio="f"/>
                <v:textbox>
                  <w:txbxContent>
                    <w:p w14:paraId="7483126A">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v:textbox>
              </v:shape>
            </w:pict>
          </mc:Fallback>
        </mc:AlternateContent>
      </w:r>
      <w:r>
        <w:rPr>
          <w:rFonts w:hint="eastAsia" w:ascii="黑体" w:hAnsi="黑体" w:eastAsia="黑体" w:cs="黑体"/>
          <w:b w:val="0"/>
          <w:bCs w:val="0"/>
          <w:color w:val="auto"/>
          <w:lang w:val="en-US" w:eastAsia="zh-CN"/>
        </w:rPr>
        <w:t>第五章 参选文件格式</w:t>
      </w:r>
      <w:bookmarkEnd w:id="20"/>
    </w:p>
    <w:p w14:paraId="7EF4C3F3">
      <w:pPr>
        <w:bidi w:val="0"/>
        <w:jc w:val="both"/>
        <w:rPr>
          <w:rFonts w:hint="eastAsia" w:ascii="仿宋_GB2312" w:hAnsi="仿宋_GB2312" w:eastAsia="仿宋_GB2312" w:cs="仿宋_GB2312"/>
          <w:color w:val="auto"/>
          <w:sz w:val="32"/>
          <w:szCs w:val="32"/>
        </w:rPr>
      </w:pPr>
    </w:p>
    <w:p w14:paraId="773F6B97">
      <w:pPr>
        <w:bidi w:val="0"/>
        <w:jc w:val="center"/>
        <w:rPr>
          <w:rFonts w:hint="eastAsia" w:ascii="方正小标宋简体" w:hAnsi="方正小标宋简体" w:eastAsia="方正小标宋简体" w:cs="方正小标宋简体"/>
          <w:color w:val="auto"/>
          <w:sz w:val="44"/>
          <w:szCs w:val="52"/>
        </w:rPr>
      </w:pPr>
      <w:r>
        <w:rPr>
          <w:rFonts w:hint="eastAsia" w:ascii="方正小标宋简体" w:hAnsi="方正小标宋简体" w:eastAsia="方正小标宋简体" w:cs="方正小标宋简体"/>
          <w:color w:val="auto"/>
          <w:sz w:val="44"/>
          <w:szCs w:val="52"/>
        </w:rPr>
        <w:t>海南联合资产管理有限公司</w:t>
      </w:r>
    </w:p>
    <w:p w14:paraId="74863CB7">
      <w:pPr>
        <w:bidi w:val="0"/>
        <w:jc w:val="center"/>
        <w:rPr>
          <w:rFonts w:hint="eastAsia" w:ascii="方正小标宋简体" w:hAnsi="方正小标宋简体" w:eastAsia="方正小标宋简体" w:cs="方正小标宋简体"/>
          <w:color w:val="auto"/>
          <w:sz w:val="44"/>
          <w:szCs w:val="52"/>
        </w:rPr>
      </w:pPr>
      <w:r>
        <w:rPr>
          <w:rFonts w:hint="eastAsia" w:ascii="方正小标宋简体" w:hAnsi="方正小标宋简体" w:eastAsia="方正小标宋简体" w:cs="方正小标宋简体"/>
          <w:color w:val="auto"/>
          <w:sz w:val="44"/>
          <w:szCs w:val="52"/>
        </w:rPr>
        <w:t>公开比选组建法律服务机构库项目</w:t>
      </w:r>
    </w:p>
    <w:p w14:paraId="0F3273E1">
      <w:pPr>
        <w:bidi w:val="0"/>
        <w:rPr>
          <w:rFonts w:hint="eastAsia" w:ascii="方正小标宋简体" w:hAnsi="方正小标宋简体" w:eastAsia="方正小标宋简体" w:cs="方正小标宋简体"/>
          <w:color w:val="auto"/>
          <w:sz w:val="44"/>
          <w:szCs w:val="52"/>
        </w:rPr>
      </w:pPr>
    </w:p>
    <w:p w14:paraId="2CBF30A6">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参</w:t>
      </w:r>
    </w:p>
    <w:p w14:paraId="724B5E18">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选</w:t>
      </w:r>
    </w:p>
    <w:p w14:paraId="5470489E">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文</w:t>
      </w:r>
    </w:p>
    <w:p w14:paraId="0581B701">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件</w:t>
      </w:r>
    </w:p>
    <w:p w14:paraId="0C9FCA93">
      <w:pPr>
        <w:bidi w:val="0"/>
        <w:rPr>
          <w:rFonts w:hint="eastAsia" w:ascii="仿宋_GB2312" w:hAnsi="仿宋_GB2312" w:eastAsia="仿宋_GB2312" w:cs="仿宋_GB2312"/>
          <w:color w:val="auto"/>
          <w:sz w:val="32"/>
          <w:szCs w:val="32"/>
        </w:rPr>
      </w:pPr>
    </w:p>
    <w:p w14:paraId="5163577A">
      <w:pPr>
        <w:bidi w:val="0"/>
        <w:ind w:firstLine="1280" w:firstLineChars="400"/>
        <w:rPr>
          <w:rFonts w:hint="eastAsia" w:ascii="楷体_GB2312" w:hAnsi="楷体_GB2312" w:eastAsia="楷体_GB2312" w:cs="楷体_GB2312"/>
          <w:b w:val="0"/>
          <w:bCs w:val="0"/>
          <w:color w:val="auto"/>
          <w:sz w:val="32"/>
          <w:szCs w:val="32"/>
          <w:u w:val="single"/>
          <w:lang w:val="en-US" w:eastAsia="zh-CN"/>
        </w:rPr>
      </w:pPr>
      <w:r>
        <w:rPr>
          <w:rFonts w:hint="eastAsia" w:ascii="楷体_GB2312" w:hAnsi="楷体_GB2312" w:eastAsia="楷体_GB2312" w:cs="楷体_GB2312"/>
          <w:b w:val="0"/>
          <w:bCs w:val="0"/>
          <w:color w:val="auto"/>
          <w:sz w:val="32"/>
          <w:szCs w:val="32"/>
          <w:u w:val="none"/>
          <w:lang w:val="en-US" w:eastAsia="zh-CN"/>
        </w:rPr>
        <w:t>参 选 人</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single"/>
          <w:lang w:val="en-US" w:eastAsia="zh-CN"/>
        </w:rPr>
        <w:t xml:space="preserve">                              </w:t>
      </w:r>
    </w:p>
    <w:p w14:paraId="7EF02E63">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联系地址：                              </w:t>
      </w:r>
    </w:p>
    <w:p w14:paraId="039D3219">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联系方式：                              </w:t>
      </w:r>
    </w:p>
    <w:p w14:paraId="7671AEE6">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参选日期</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none"/>
          <w:lang w:val="en-US" w:eastAsia="zh-CN"/>
        </w:rPr>
        <w:t xml:space="preserve">                              </w:t>
      </w:r>
    </w:p>
    <w:p w14:paraId="4CE585DE">
      <w:pPr>
        <w:bidi w:val="0"/>
        <w:ind w:firstLine="1285" w:firstLineChars="4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br w:type="page"/>
      </w:r>
    </w:p>
    <w:p w14:paraId="280A2E16">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bookmarkStart w:id="21" w:name="_Toc29854"/>
      <w:bookmarkStart w:id="22" w:name="_Toc6107"/>
      <w:r>
        <w:rPr>
          <w:rFonts w:hint="eastAsia" w:ascii="仿宋_GB2312" w:hAnsi="仿宋_GB2312" w:eastAsia="仿宋_GB2312" w:cs="仿宋_GB2312"/>
          <w:b/>
          <w:bCs/>
          <w:color w:val="auto"/>
          <w:kern w:val="2"/>
          <w:sz w:val="32"/>
          <w:szCs w:val="32"/>
          <w:lang w:val="en-US" w:eastAsia="zh-CN" w:bidi="ar-SA"/>
        </w:rPr>
        <w:t>一、律师事务所执业许可证（另附）</w:t>
      </w:r>
    </w:p>
    <w:p w14:paraId="75644E00">
      <w:pPr>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rPr>
      </w:pPr>
    </w:p>
    <w:p w14:paraId="17A566D3">
      <w:pPr>
        <w:pStyle w:val="51"/>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lang w:eastAsia="zh-CN"/>
        </w:rPr>
      </w:pPr>
    </w:p>
    <w:p w14:paraId="7F23668E">
      <w:pPr>
        <w:pStyle w:val="51"/>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lang w:eastAsia="zh-CN"/>
        </w:rPr>
      </w:pPr>
    </w:p>
    <w:p w14:paraId="7A781F0A">
      <w:pPr>
        <w:pStyle w:val="51"/>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注：复印件须加盖单位公章</w:t>
      </w:r>
    </w:p>
    <w:p w14:paraId="748B9A8E">
      <w:pPr>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br w:type="page"/>
      </w:r>
    </w:p>
    <w:p w14:paraId="6E2BE7C6">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bookmarkStart w:id="23" w:name="_Toc81784931"/>
      <w:r>
        <w:rPr>
          <w:rFonts w:hint="eastAsia" w:ascii="仿宋_GB2312" w:hAnsi="仿宋_GB2312" w:eastAsia="仿宋_GB2312" w:cs="仿宋_GB2312"/>
          <w:b/>
          <w:bCs/>
          <w:color w:val="auto"/>
          <w:kern w:val="2"/>
          <w:sz w:val="32"/>
          <w:szCs w:val="32"/>
          <w:lang w:val="en-US" w:eastAsia="zh-CN" w:bidi="ar-SA"/>
        </w:rPr>
        <w:t>二、法定代表人（负责人）身份证明</w:t>
      </w:r>
      <w:bookmarkEnd w:id="21"/>
      <w:bookmarkEnd w:id="23"/>
    </w:p>
    <w:p w14:paraId="32215269">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1E901828">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3B553C86">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同志，在我单位担任</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职务，是我单位的法定代表人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，特此证明。</w:t>
      </w:r>
    </w:p>
    <w:p w14:paraId="6AFB9952">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50AB0904">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02F83CE8">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760B510F">
      <w:pPr>
        <w:keepLines w:val="0"/>
        <w:pageBreakBefore w:val="0"/>
        <w:kinsoku/>
        <w:wordWrap w:val="0"/>
        <w:overflowPunct w:val="0"/>
        <w:topLinePunct w:val="0"/>
        <w:autoSpaceDE/>
        <w:autoSpaceDN/>
        <w:bidi w:val="0"/>
        <w:snapToGrid/>
        <w:spacing w:line="560" w:lineRule="atLeast"/>
        <w:jc w:val="righ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公</w:t>
      </w:r>
      <w:r>
        <w:rPr>
          <w:rFonts w:hint="eastAsia" w:ascii="仿宋_GB2312" w:hAnsi="仿宋_GB2312" w:eastAsia="仿宋_GB2312" w:cs="仿宋_GB2312"/>
          <w:color w:val="auto"/>
          <w:sz w:val="32"/>
          <w:szCs w:val="32"/>
        </w:rPr>
        <w:t>章）</w:t>
      </w:r>
      <w:r>
        <w:rPr>
          <w:rFonts w:hint="eastAsia" w:ascii="仿宋_GB2312" w:hAnsi="仿宋_GB2312" w:eastAsia="仿宋_GB2312" w:cs="仿宋_GB2312"/>
          <w:color w:val="auto"/>
          <w:sz w:val="32"/>
          <w:szCs w:val="32"/>
          <w:lang w:val="en-US" w:eastAsia="zh-CN"/>
        </w:rPr>
        <w:t xml:space="preserve">             </w:t>
      </w:r>
    </w:p>
    <w:p w14:paraId="6567FA0E">
      <w:pPr>
        <w:keepLines w:val="0"/>
        <w:pageBreakBefore w:val="0"/>
        <w:kinsoku/>
        <w:wordWrap w:val="0"/>
        <w:overflowPunct w:val="0"/>
        <w:topLinePunct w:val="0"/>
        <w:autoSpaceDE/>
        <w:autoSpaceDN/>
        <w:bidi w:val="0"/>
        <w:snapToGrid/>
        <w:spacing w:line="560" w:lineRule="atLeast"/>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2DA4608D">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10233878">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身份证复印件</w:t>
      </w:r>
    </w:p>
    <w:p w14:paraId="270250B3">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联系地址</w:t>
      </w:r>
      <w:r>
        <w:rPr>
          <w:rFonts w:hint="eastAsia" w:ascii="仿宋_GB2312" w:hAnsi="仿宋_GB2312" w:eastAsia="仿宋_GB2312" w:cs="仿宋_GB2312"/>
          <w:color w:val="auto"/>
          <w:sz w:val="32"/>
          <w:szCs w:val="32"/>
        </w:rPr>
        <w:t>：</w:t>
      </w:r>
    </w:p>
    <w:p w14:paraId="48612F52">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联系方式：</w:t>
      </w:r>
    </w:p>
    <w:p w14:paraId="187B8A86">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7FC360ED">
      <w:pPr>
        <w:keepLines w:val="0"/>
        <w:pageBreakBefore w:val="0"/>
        <w:kinsoku/>
        <w:wordWrap w:val="0"/>
        <w:overflowPunct w:val="0"/>
        <w:topLinePunct w:val="0"/>
        <w:autoSpaceDE/>
        <w:autoSpaceDN/>
        <w:bidi w:val="0"/>
        <w:snapToGrid/>
        <w:spacing w:line="560" w:lineRule="atLeas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身份证复印件</w:t>
      </w:r>
      <w:r>
        <w:rPr>
          <w:rFonts w:hint="eastAsia" w:ascii="仿宋_GB2312" w:hAnsi="仿宋_GB2312" w:eastAsia="仿宋_GB2312" w:cs="仿宋_GB2312"/>
          <w:color w:val="auto"/>
          <w:sz w:val="32"/>
          <w:szCs w:val="32"/>
          <w:lang w:val="en-US" w:eastAsia="zh-CN"/>
        </w:rPr>
        <w:t>须</w:t>
      </w:r>
      <w:r>
        <w:rPr>
          <w:rFonts w:hint="eastAsia" w:ascii="仿宋_GB2312" w:hAnsi="仿宋_GB2312" w:eastAsia="仿宋_GB2312" w:cs="仿宋_GB2312"/>
          <w:color w:val="auto"/>
          <w:sz w:val="32"/>
          <w:szCs w:val="32"/>
        </w:rPr>
        <w:t>加盖单位</w:t>
      </w:r>
      <w:r>
        <w:rPr>
          <w:rFonts w:hint="eastAsia" w:ascii="仿宋_GB2312" w:hAnsi="仿宋_GB2312" w:eastAsia="仿宋_GB2312" w:cs="仿宋_GB2312"/>
          <w:color w:val="auto"/>
          <w:sz w:val="32"/>
          <w:szCs w:val="32"/>
          <w:lang w:val="en-US" w:eastAsia="zh-CN"/>
        </w:rPr>
        <w:t>公</w:t>
      </w:r>
      <w:r>
        <w:rPr>
          <w:rFonts w:hint="eastAsia" w:ascii="仿宋_GB2312" w:hAnsi="仿宋_GB2312" w:eastAsia="仿宋_GB2312" w:cs="仿宋_GB2312"/>
          <w:color w:val="auto"/>
          <w:sz w:val="32"/>
          <w:szCs w:val="32"/>
        </w:rPr>
        <w:t>章。</w:t>
      </w:r>
    </w:p>
    <w:p w14:paraId="11548D06">
      <w:pPr>
        <w:keepLines w:val="0"/>
        <w:pageBreakBefore w:val="0"/>
        <w:kinsoku/>
        <w:wordWrap w:val="0"/>
        <w:overflowPunct w:val="0"/>
        <w:topLinePunct w:val="0"/>
        <w:autoSpaceDE/>
        <w:autoSpaceDN/>
        <w:bidi w:val="0"/>
        <w:snapToGrid/>
        <w:spacing w:line="560"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亲自参与比选活动</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rPr>
        <w:t>适用。</w:t>
      </w:r>
    </w:p>
    <w:p w14:paraId="114B5E55">
      <w:pPr>
        <w:keepLines w:val="0"/>
        <w:pageBreakBefore w:val="0"/>
        <w:kinsoku/>
        <w:wordWrap w:val="0"/>
        <w:overflowPunct w:val="0"/>
        <w:topLinePunct w:val="0"/>
        <w:autoSpaceDE/>
        <w:autoSpaceDN/>
        <w:bidi w:val="0"/>
        <w:snapToGrid/>
        <w:spacing w:line="560" w:lineRule="atLeast"/>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bookmarkStart w:id="24" w:name="_Toc81784932"/>
    </w:p>
    <w:p w14:paraId="1936AC32">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三、授权委托书</w:t>
      </w:r>
      <w:bookmarkEnd w:id="22"/>
      <w:bookmarkEnd w:id="24"/>
    </w:p>
    <w:p w14:paraId="3C7891DE">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p>
    <w:p w14:paraId="5C4ADDB6">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委托人：           律师事务所</w:t>
      </w:r>
    </w:p>
    <w:p w14:paraId="0E9A1B90">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p>
    <w:p w14:paraId="25CA6168">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受托人：        ，男/女，   族，    年   月   日出生，公民身份号码：            地址：            。</w:t>
      </w:r>
    </w:p>
    <w:p w14:paraId="6934EFB3">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614" w:firstLineChars="19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现授权委托</w:t>
      </w:r>
      <w:r>
        <w:rPr>
          <w:rFonts w:hint="eastAsia" w:ascii="仿宋_GB2312" w:hAnsi="仿宋_GB2312" w:eastAsia="仿宋_GB2312" w:cs="仿宋_GB2312"/>
          <w:color w:val="auto"/>
          <w:sz w:val="32"/>
          <w:szCs w:val="32"/>
          <w:u w:val="single"/>
        </w:rPr>
        <w:t xml:space="preserve">      （受托人姓名）</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rPr>
        <w:t>唯一代理人，以本</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的名义参加</w:t>
      </w:r>
      <w:r>
        <w:rPr>
          <w:rFonts w:hint="eastAsia" w:ascii="仿宋_GB2312" w:hAnsi="仿宋_GB2312" w:eastAsia="仿宋_GB2312" w:cs="仿宋_GB2312"/>
          <w:color w:val="auto"/>
          <w:sz w:val="32"/>
          <w:szCs w:val="32"/>
          <w:u w:val="single"/>
        </w:rPr>
        <w:t>海南联合资产管理有限公司公开比选组建法律服务机构库项目</w:t>
      </w:r>
      <w:r>
        <w:rPr>
          <w:rFonts w:hint="eastAsia" w:ascii="仿宋_GB2312" w:hAnsi="仿宋_GB2312" w:eastAsia="仿宋_GB2312" w:cs="仿宋_GB2312"/>
          <w:color w:val="auto"/>
          <w:sz w:val="32"/>
          <w:szCs w:val="32"/>
          <w:u w:val="none"/>
          <w:lang w:val="en-US" w:eastAsia="zh-CN"/>
        </w:rPr>
        <w:t>比选</w:t>
      </w:r>
      <w:r>
        <w:rPr>
          <w:rFonts w:hint="eastAsia" w:ascii="仿宋_GB2312" w:hAnsi="仿宋_GB2312" w:eastAsia="仿宋_GB2312" w:cs="仿宋_GB2312"/>
          <w:color w:val="auto"/>
          <w:sz w:val="32"/>
          <w:szCs w:val="32"/>
          <w:u w:val="none"/>
        </w:rPr>
        <w:t>活动</w:t>
      </w:r>
      <w:r>
        <w:rPr>
          <w:rFonts w:hint="eastAsia" w:ascii="仿宋_GB2312" w:hAnsi="仿宋_GB2312" w:eastAsia="仿宋_GB2312" w:cs="仿宋_GB2312"/>
          <w:color w:val="auto"/>
          <w:sz w:val="32"/>
          <w:szCs w:val="32"/>
        </w:rPr>
        <w:t>。</w:t>
      </w:r>
    </w:p>
    <w:p w14:paraId="3411F191">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614" w:firstLineChars="19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val="en-US" w:eastAsia="zh-CN"/>
        </w:rPr>
        <w:t>受托人</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活动中所签署的一切文件和处理与之有关的一切事务，</w:t>
      </w:r>
      <w:r>
        <w:rPr>
          <w:rFonts w:hint="eastAsia" w:ascii="仿宋_GB2312" w:hAnsi="仿宋_GB2312" w:eastAsia="仿宋_GB2312" w:cs="仿宋_GB2312"/>
          <w:b w:val="0"/>
          <w:bCs w:val="0"/>
          <w:color w:val="auto"/>
          <w:sz w:val="32"/>
          <w:szCs w:val="32"/>
          <w:lang w:val="en-US" w:eastAsia="zh-CN"/>
        </w:rPr>
        <w:t>委托人</w:t>
      </w:r>
      <w:r>
        <w:rPr>
          <w:rFonts w:hint="eastAsia" w:ascii="仿宋_GB2312" w:hAnsi="仿宋_GB2312" w:eastAsia="仿宋_GB2312" w:cs="仿宋_GB2312"/>
          <w:color w:val="auto"/>
          <w:sz w:val="32"/>
          <w:szCs w:val="32"/>
        </w:rPr>
        <w:t>均予以承认并</w:t>
      </w:r>
      <w:r>
        <w:rPr>
          <w:rFonts w:hint="eastAsia" w:ascii="仿宋_GB2312" w:hAnsi="仿宋_GB2312" w:eastAsia="仿宋_GB2312" w:cs="仿宋_GB2312"/>
          <w:color w:val="auto"/>
          <w:sz w:val="32"/>
          <w:szCs w:val="32"/>
          <w:lang w:val="en-US" w:eastAsia="zh-CN"/>
        </w:rPr>
        <w:t>自愿</w:t>
      </w:r>
      <w:r>
        <w:rPr>
          <w:rFonts w:hint="eastAsia" w:ascii="仿宋_GB2312" w:hAnsi="仿宋_GB2312" w:eastAsia="仿宋_GB2312" w:cs="仿宋_GB2312"/>
          <w:color w:val="auto"/>
          <w:sz w:val="32"/>
          <w:szCs w:val="32"/>
        </w:rPr>
        <w:t>承担其产生的所有权利和义务。</w:t>
      </w:r>
    </w:p>
    <w:p w14:paraId="3D8B6225">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614" w:firstLineChars="192"/>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委托期限：自本委托书签发之日起至上述事项办完为止。</w:t>
      </w:r>
    </w:p>
    <w:p w14:paraId="2B497A2B">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614" w:firstLineChars="19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受托人</w:t>
      </w:r>
      <w:r>
        <w:rPr>
          <w:rFonts w:hint="eastAsia" w:ascii="仿宋_GB2312" w:hAnsi="仿宋_GB2312" w:eastAsia="仿宋_GB2312" w:cs="仿宋_GB2312"/>
          <w:color w:val="auto"/>
          <w:sz w:val="32"/>
          <w:szCs w:val="32"/>
        </w:rPr>
        <w:t>无权转委托权。</w:t>
      </w:r>
    </w:p>
    <w:p w14:paraId="42604F3E">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特此委托</w:t>
      </w:r>
      <w:r>
        <w:rPr>
          <w:rFonts w:hint="eastAsia" w:ascii="仿宋_GB2312" w:hAnsi="仿宋_GB2312" w:eastAsia="仿宋_GB2312" w:cs="仿宋_GB2312"/>
          <w:color w:val="auto"/>
          <w:sz w:val="32"/>
          <w:szCs w:val="32"/>
          <w:lang w:eastAsia="zh-CN"/>
        </w:rPr>
        <w:t>。</w:t>
      </w:r>
    </w:p>
    <w:p w14:paraId="3671A73C">
      <w:pPr>
        <w:pStyle w:val="8"/>
        <w:keepNext w:val="0"/>
        <w:keepLines w:val="0"/>
        <w:pageBreakBefore w:val="0"/>
        <w:widowControl w:val="0"/>
        <w:kinsoku/>
        <w:wordWrap w:val="0"/>
        <w:overflowPunct w:val="0"/>
        <w:topLinePunct w:val="0"/>
        <w:autoSpaceDE/>
        <w:autoSpaceDN/>
        <w:bidi w:val="0"/>
        <w:adjustRightInd/>
        <w:snapToGrid/>
        <w:spacing w:line="560" w:lineRule="exact"/>
        <w:ind w:left="0" w:leftChars="0" w:firstLine="2240" w:firstLineChars="7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委托人：</w:t>
      </w:r>
      <w:r>
        <w:rPr>
          <w:rFonts w:hint="eastAsia" w:ascii="仿宋_GB2312" w:hAnsi="仿宋_GB2312" w:eastAsia="仿宋_GB2312" w:cs="仿宋_GB2312"/>
          <w:color w:val="auto"/>
          <w:sz w:val="32"/>
          <w:szCs w:val="32"/>
        </w:rPr>
        <w:t>（盖章）</w:t>
      </w:r>
      <w:r>
        <w:rPr>
          <w:rFonts w:hint="eastAsia" w:ascii="仿宋_GB2312" w:hAnsi="仿宋_GB2312" w:eastAsia="仿宋_GB2312" w:cs="仿宋_GB2312"/>
          <w:color w:val="auto"/>
          <w:sz w:val="32"/>
          <w:szCs w:val="32"/>
          <w:lang w:val="en-US" w:eastAsia="zh-CN"/>
        </w:rPr>
        <w:t xml:space="preserve">            </w:t>
      </w:r>
    </w:p>
    <w:p w14:paraId="04F036AB">
      <w:pPr>
        <w:pStyle w:val="8"/>
        <w:keepNext w:val="0"/>
        <w:keepLines w:val="0"/>
        <w:pageBreakBefore w:val="0"/>
        <w:widowControl w:val="0"/>
        <w:kinsoku/>
        <w:wordWrap w:val="0"/>
        <w:overflowPunct w:val="0"/>
        <w:topLinePunct w:val="0"/>
        <w:autoSpaceDE/>
        <w:autoSpaceDN/>
        <w:bidi w:val="0"/>
        <w:adjustRightInd/>
        <w:snapToGrid/>
        <w:spacing w:line="560" w:lineRule="exact"/>
        <w:ind w:left="0" w:leftChars="0" w:firstLine="1600" w:firstLineChars="5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法定代表人（负责人）：（签名）            </w:t>
      </w:r>
    </w:p>
    <w:p w14:paraId="4299DA68">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3520" w:firstLineChars="11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委托日期：                    </w:t>
      </w:r>
    </w:p>
    <w:p w14:paraId="5A4F456C">
      <w:pPr>
        <w:keepNext w:val="0"/>
        <w:keepLines w:val="0"/>
        <w:pageBreakBefore w:val="0"/>
        <w:widowControl w:val="0"/>
        <w:kinsoku/>
        <w:wordWrap w:val="0"/>
        <w:overflowPunct w:val="0"/>
        <w:topLinePunct w:val="0"/>
        <w:autoSpaceDE/>
        <w:autoSpaceDN/>
        <w:bidi w:val="0"/>
        <w:adjustRightInd/>
        <w:snapToGrid/>
        <w:spacing w:line="560" w:lineRule="exact"/>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eastAsia="仿宋_GB2312" w:cs="仿宋_GB2312"/>
          <w:b w:val="0"/>
          <w:bCs/>
          <w:color w:val="auto"/>
          <w:kern w:val="2"/>
          <w:sz w:val="32"/>
          <w:szCs w:val="32"/>
          <w:lang w:val="en-US" w:eastAsia="zh-CN"/>
        </w:rPr>
        <w:t>受托人</w:t>
      </w:r>
      <w:r>
        <w:rPr>
          <w:rFonts w:hint="eastAsia" w:ascii="仿宋_GB2312" w:hAnsi="仿宋_GB2312" w:eastAsia="仿宋_GB2312" w:cs="仿宋_GB2312"/>
          <w:color w:val="auto"/>
          <w:sz w:val="32"/>
          <w:szCs w:val="32"/>
        </w:rPr>
        <w:t>身份证复印件</w:t>
      </w:r>
    </w:p>
    <w:p w14:paraId="29D6C550">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联系地址</w:t>
      </w:r>
      <w:r>
        <w:rPr>
          <w:rFonts w:hint="eastAsia" w:ascii="仿宋_GB2312" w:hAnsi="仿宋_GB2312" w:eastAsia="仿宋_GB2312" w:cs="仿宋_GB2312"/>
          <w:color w:val="auto"/>
          <w:sz w:val="32"/>
          <w:szCs w:val="32"/>
        </w:rPr>
        <w:t>：</w:t>
      </w:r>
    </w:p>
    <w:p w14:paraId="08FC580B">
      <w:pPr>
        <w:keepNext w:val="0"/>
        <w:keepLines w:val="0"/>
        <w:pageBreakBefore w:val="0"/>
        <w:widowControl w:val="0"/>
        <w:kinsoku/>
        <w:wordWrap w:val="0"/>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color w:val="auto"/>
          <w:kern w:val="2"/>
          <w:sz w:val="32"/>
          <w:szCs w:val="32"/>
        </w:rPr>
      </w:pPr>
      <w:r>
        <w:rPr>
          <w:rFonts w:hint="eastAsia" w:ascii="仿宋_GB2312" w:hAnsi="仿宋_GB2312" w:eastAsia="仿宋_GB2312" w:cs="仿宋_GB2312"/>
          <w:color w:val="auto"/>
          <w:sz w:val="32"/>
          <w:szCs w:val="32"/>
        </w:rPr>
        <w:t>联系方式：</w:t>
      </w:r>
    </w:p>
    <w:p w14:paraId="3793BE45">
      <w:pPr>
        <w:pStyle w:val="58"/>
        <w:keepNext w:val="0"/>
        <w:keepLines w:val="0"/>
        <w:pageBreakBefore w:val="0"/>
        <w:widowControl w:val="0"/>
        <w:kinsoku/>
        <w:wordWrap w:val="0"/>
        <w:overflowPunct w:val="0"/>
        <w:topLinePunct w:val="0"/>
        <w:autoSpaceDE/>
        <w:autoSpaceDN/>
        <w:bidi w:val="0"/>
        <w:adjustRightInd/>
        <w:snapToGrid/>
        <w:spacing w:line="560" w:lineRule="exact"/>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kern w:val="2"/>
          <w:sz w:val="32"/>
          <w:szCs w:val="32"/>
        </w:rPr>
        <w:t>注：</w:t>
      </w:r>
      <w:r>
        <w:rPr>
          <w:rFonts w:hint="eastAsia" w:ascii="仿宋_GB2312" w:hAnsi="仿宋_GB2312" w:eastAsia="仿宋_GB2312" w:cs="仿宋_GB2312"/>
          <w:b w:val="0"/>
          <w:bCs/>
          <w:color w:val="auto"/>
          <w:kern w:val="2"/>
          <w:sz w:val="32"/>
          <w:szCs w:val="32"/>
          <w:lang w:val="en-US" w:eastAsia="zh-CN"/>
        </w:rPr>
        <w:t>1.受托人</w:t>
      </w:r>
      <w:r>
        <w:rPr>
          <w:rFonts w:hint="eastAsia" w:ascii="仿宋_GB2312" w:hAnsi="仿宋_GB2312" w:eastAsia="仿宋_GB2312" w:cs="仿宋_GB2312"/>
          <w:b w:val="0"/>
          <w:bCs/>
          <w:color w:val="auto"/>
          <w:kern w:val="2"/>
          <w:sz w:val="32"/>
          <w:szCs w:val="32"/>
        </w:rPr>
        <w:t>身份证复印件须加盖单位公章。</w:t>
      </w:r>
    </w:p>
    <w:p w14:paraId="2B0B22C9">
      <w:pPr>
        <w:pStyle w:val="58"/>
        <w:keepNext w:val="0"/>
        <w:keepLines w:val="0"/>
        <w:pageBreakBefore w:val="0"/>
        <w:widowControl w:val="0"/>
        <w:kinsoku/>
        <w:wordWrap w:val="0"/>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color w:val="auto"/>
          <w:kern w:val="2"/>
          <w:sz w:val="32"/>
          <w:szCs w:val="32"/>
        </w:rPr>
      </w:pPr>
      <w:r>
        <w:rPr>
          <w:rFonts w:hint="eastAsia" w:ascii="仿宋_GB2312" w:hAnsi="仿宋_GB2312" w:eastAsia="仿宋_GB2312" w:cs="仿宋_GB2312"/>
          <w:b w:val="0"/>
          <w:bCs/>
          <w:color w:val="auto"/>
          <w:kern w:val="2"/>
          <w:sz w:val="32"/>
          <w:szCs w:val="32"/>
          <w:lang w:val="en-US" w:eastAsia="zh-CN"/>
        </w:rPr>
        <w:t>2.</w:t>
      </w:r>
      <w:r>
        <w:rPr>
          <w:rFonts w:hint="eastAsia" w:ascii="仿宋_GB2312" w:hAnsi="仿宋_GB2312" w:eastAsia="仿宋_GB2312" w:cs="仿宋_GB2312"/>
          <w:b w:val="0"/>
          <w:bCs/>
          <w:color w:val="auto"/>
          <w:kern w:val="2"/>
          <w:sz w:val="32"/>
          <w:szCs w:val="32"/>
        </w:rPr>
        <w:t>法定代表人（负责人）亲自</w:t>
      </w:r>
      <w:r>
        <w:rPr>
          <w:rFonts w:hint="eastAsia" w:ascii="仿宋_GB2312" w:hAnsi="仿宋_GB2312" w:eastAsia="仿宋_GB2312" w:cs="仿宋_GB2312"/>
          <w:b w:val="0"/>
          <w:bCs/>
          <w:color w:val="auto"/>
          <w:kern w:val="2"/>
          <w:sz w:val="32"/>
          <w:szCs w:val="32"/>
          <w:lang w:val="en-US" w:eastAsia="zh-CN"/>
        </w:rPr>
        <w:t>参与比选活动不</w:t>
      </w:r>
      <w:r>
        <w:rPr>
          <w:rFonts w:hint="eastAsia" w:ascii="仿宋_GB2312" w:hAnsi="仿宋_GB2312" w:eastAsia="仿宋_GB2312" w:cs="仿宋_GB2312"/>
          <w:b w:val="0"/>
          <w:bCs/>
          <w:color w:val="auto"/>
          <w:kern w:val="2"/>
          <w:sz w:val="32"/>
          <w:szCs w:val="32"/>
        </w:rPr>
        <w:t>适用。</w:t>
      </w:r>
    </w:p>
    <w:p w14:paraId="3560C0FE">
      <w:pPr>
        <w:keepNext w:val="0"/>
        <w:keepLines w:val="0"/>
        <w:pageBreakBefore w:val="0"/>
        <w:widowControl w:val="0"/>
        <w:kinsoku/>
        <w:wordWrap w:val="0"/>
        <w:overflowPunct w:val="0"/>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Cs/>
          <w:color w:val="auto"/>
          <w:kern w:val="2"/>
          <w:sz w:val="32"/>
          <w:szCs w:val="32"/>
        </w:rPr>
        <w:br w:type="page"/>
      </w:r>
      <w:bookmarkStart w:id="25" w:name="_Toc17243"/>
    </w:p>
    <w:p w14:paraId="001769AA">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bookmarkStart w:id="26" w:name="_Toc81784941"/>
      <w:r>
        <w:rPr>
          <w:rFonts w:hint="eastAsia" w:ascii="仿宋_GB2312" w:hAnsi="仿宋_GB2312" w:eastAsia="仿宋_GB2312" w:cs="仿宋_GB2312"/>
          <w:b/>
          <w:bCs/>
          <w:color w:val="auto"/>
          <w:kern w:val="2"/>
          <w:sz w:val="32"/>
          <w:szCs w:val="32"/>
          <w:lang w:val="en-US" w:eastAsia="zh-CN" w:bidi="ar-SA"/>
        </w:rPr>
        <w:t>四、关于参选文件真实性声明函</w:t>
      </w:r>
      <w:bookmarkEnd w:id="26"/>
    </w:p>
    <w:p w14:paraId="73D1CD34">
      <w:pPr>
        <w:keepLines w:val="0"/>
        <w:pageBreakBefore w:val="0"/>
        <w:kinsoku/>
        <w:wordWrap w:val="0"/>
        <w:overflowPunct w:val="0"/>
        <w:topLinePunct w:val="0"/>
        <w:autoSpaceDE/>
        <w:autoSpaceDN/>
        <w:bidi w:val="0"/>
        <w:snapToGrid/>
        <w:spacing w:line="560" w:lineRule="atLeast"/>
        <w:rPr>
          <w:rFonts w:hint="eastAsia" w:ascii="仿宋_GB2312" w:hAnsi="仿宋_GB2312" w:eastAsia="仿宋_GB2312" w:cs="仿宋_GB2312"/>
          <w:color w:val="auto"/>
          <w:sz w:val="32"/>
          <w:szCs w:val="32"/>
        </w:rPr>
      </w:pPr>
    </w:p>
    <w:p w14:paraId="2C95EDC0">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本</w:t>
      </w:r>
      <w:r>
        <w:rPr>
          <w:rFonts w:hint="eastAsia" w:ascii="仿宋_GB2312" w:hAnsi="仿宋_GB2312" w:eastAsia="仿宋_GB2312" w:cs="仿宋_GB2312"/>
          <w:bCs/>
          <w:color w:val="auto"/>
          <w:sz w:val="32"/>
          <w:szCs w:val="32"/>
          <w:lang w:val="en-US" w:eastAsia="zh-CN"/>
        </w:rPr>
        <w:t>单位</w:t>
      </w:r>
      <w:r>
        <w:rPr>
          <w:rFonts w:hint="eastAsia" w:ascii="仿宋_GB2312" w:hAnsi="仿宋_GB2312" w:eastAsia="仿宋_GB2312" w:cs="仿宋_GB2312"/>
          <w:color w:val="auto"/>
          <w:sz w:val="32"/>
          <w:szCs w:val="32"/>
        </w:rPr>
        <w:t>参加</w:t>
      </w:r>
      <w:r>
        <w:rPr>
          <w:rFonts w:hint="eastAsia" w:ascii="仿宋_GB2312" w:hAnsi="仿宋_GB2312" w:eastAsia="仿宋_GB2312" w:cs="仿宋_GB2312"/>
          <w:color w:val="auto"/>
          <w:sz w:val="32"/>
          <w:szCs w:val="32"/>
          <w:u w:val="single"/>
        </w:rPr>
        <w:t>海南联合资产管理有限公司公开比选组建法律服务机构库项目</w:t>
      </w:r>
      <w:r>
        <w:rPr>
          <w:rFonts w:hint="eastAsia" w:ascii="仿宋_GB2312" w:hAnsi="仿宋_GB2312" w:eastAsia="仿宋_GB2312" w:cs="仿宋_GB2312"/>
          <w:color w:val="auto"/>
          <w:sz w:val="32"/>
          <w:szCs w:val="32"/>
          <w:u w:val="none"/>
          <w:lang w:val="en-US" w:eastAsia="zh-CN"/>
        </w:rPr>
        <w:t>比选</w:t>
      </w:r>
      <w:r>
        <w:rPr>
          <w:rFonts w:hint="eastAsia" w:ascii="仿宋_GB2312" w:hAnsi="仿宋_GB2312" w:eastAsia="仿宋_GB2312" w:cs="仿宋_GB2312"/>
          <w:color w:val="auto"/>
          <w:sz w:val="32"/>
          <w:szCs w:val="32"/>
          <w:u w:val="none"/>
        </w:rPr>
        <w:t>活动</w:t>
      </w:r>
      <w:r>
        <w:rPr>
          <w:rFonts w:hint="eastAsia" w:ascii="仿宋_GB2312" w:hAnsi="仿宋_GB2312" w:eastAsia="仿宋_GB2312" w:cs="仿宋_GB2312"/>
          <w:bCs/>
          <w:color w:val="auto"/>
          <w:sz w:val="32"/>
          <w:szCs w:val="32"/>
        </w:rPr>
        <w:t>所提交的</w:t>
      </w:r>
      <w:r>
        <w:rPr>
          <w:rFonts w:hint="eastAsia" w:ascii="仿宋_GB2312" w:hAnsi="仿宋_GB2312" w:eastAsia="仿宋_GB2312" w:cs="仿宋_GB2312"/>
          <w:bCs/>
          <w:color w:val="auto"/>
          <w:sz w:val="32"/>
          <w:szCs w:val="32"/>
          <w:lang w:val="en-US" w:eastAsia="zh-CN"/>
        </w:rPr>
        <w:t>参选</w:t>
      </w:r>
      <w:r>
        <w:rPr>
          <w:rFonts w:hint="eastAsia" w:ascii="仿宋_GB2312" w:hAnsi="仿宋_GB2312" w:eastAsia="仿宋_GB2312" w:cs="仿宋_GB2312"/>
          <w:bCs/>
          <w:color w:val="auto"/>
          <w:sz w:val="32"/>
          <w:szCs w:val="32"/>
        </w:rPr>
        <w:t>文件中所有</w:t>
      </w:r>
      <w:r>
        <w:rPr>
          <w:rFonts w:hint="eastAsia" w:ascii="仿宋_GB2312" w:hAnsi="仿宋_GB2312" w:eastAsia="仿宋_GB2312" w:cs="仿宋_GB2312"/>
          <w:bCs/>
          <w:color w:val="auto"/>
          <w:sz w:val="32"/>
          <w:szCs w:val="32"/>
          <w:lang w:val="en-US" w:eastAsia="zh-CN"/>
        </w:rPr>
        <w:t>证明文件</w:t>
      </w:r>
      <w:r>
        <w:rPr>
          <w:rFonts w:hint="eastAsia" w:ascii="仿宋_GB2312" w:hAnsi="仿宋_GB2312" w:eastAsia="仿宋_GB2312" w:cs="仿宋_GB2312"/>
          <w:bCs/>
          <w:color w:val="auto"/>
          <w:sz w:val="32"/>
          <w:szCs w:val="32"/>
        </w:rPr>
        <w:t>和陈述均是真实、</w:t>
      </w:r>
      <w:r>
        <w:rPr>
          <w:rFonts w:hint="eastAsia" w:ascii="仿宋_GB2312" w:hAnsi="仿宋_GB2312" w:eastAsia="仿宋_GB2312" w:cs="仿宋_GB2312"/>
          <w:bCs/>
          <w:color w:val="auto"/>
          <w:sz w:val="32"/>
          <w:szCs w:val="32"/>
          <w:lang w:val="en-US" w:eastAsia="zh-CN"/>
        </w:rPr>
        <w:t>完整、</w:t>
      </w:r>
      <w:r>
        <w:rPr>
          <w:rFonts w:hint="eastAsia" w:ascii="仿宋_GB2312" w:hAnsi="仿宋_GB2312" w:eastAsia="仿宋_GB2312" w:cs="仿宋_GB2312"/>
          <w:bCs/>
          <w:color w:val="auto"/>
          <w:sz w:val="32"/>
          <w:szCs w:val="32"/>
        </w:rPr>
        <w:t>准确的。</w:t>
      </w:r>
    </w:p>
    <w:p w14:paraId="1F243431">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若与真实情况不符，本单位</w:t>
      </w:r>
      <w:r>
        <w:rPr>
          <w:rFonts w:hint="eastAsia" w:ascii="仿宋_GB2312" w:hAnsi="仿宋_GB2312" w:eastAsia="仿宋_GB2312" w:cs="仿宋_GB2312"/>
          <w:bCs/>
          <w:color w:val="auto"/>
          <w:sz w:val="32"/>
          <w:szCs w:val="32"/>
          <w:lang w:val="en-US" w:eastAsia="zh-CN"/>
        </w:rPr>
        <w:t>自愿</w:t>
      </w:r>
      <w:r>
        <w:rPr>
          <w:rFonts w:hint="eastAsia" w:ascii="仿宋_GB2312" w:hAnsi="仿宋_GB2312" w:eastAsia="仿宋_GB2312" w:cs="仿宋_GB2312"/>
          <w:bCs/>
          <w:color w:val="auto"/>
          <w:sz w:val="32"/>
          <w:szCs w:val="32"/>
        </w:rPr>
        <w:t>承担由此而产生的一切</w:t>
      </w:r>
      <w:r>
        <w:rPr>
          <w:rFonts w:hint="eastAsia" w:ascii="仿宋_GB2312" w:hAnsi="仿宋_GB2312" w:eastAsia="仿宋_GB2312" w:cs="仿宋_GB2312"/>
          <w:bCs/>
          <w:color w:val="auto"/>
          <w:sz w:val="32"/>
          <w:szCs w:val="32"/>
          <w:lang w:val="en-US" w:eastAsia="zh-CN"/>
        </w:rPr>
        <w:t>不利</w:t>
      </w:r>
      <w:r>
        <w:rPr>
          <w:rFonts w:hint="eastAsia" w:ascii="仿宋_GB2312" w:hAnsi="仿宋_GB2312" w:eastAsia="仿宋_GB2312" w:cs="仿宋_GB2312"/>
          <w:bCs/>
          <w:color w:val="auto"/>
          <w:sz w:val="32"/>
          <w:szCs w:val="32"/>
        </w:rPr>
        <w:t>后果。</w:t>
      </w:r>
    </w:p>
    <w:bookmarkEnd w:id="25"/>
    <w:p w14:paraId="450A1610">
      <w:pPr>
        <w:keepLines w:val="0"/>
        <w:pageBreakBefore w:val="0"/>
        <w:widowControl w:val="0"/>
        <w:numPr>
          <w:ilvl w:val="0"/>
          <w:numId w:val="0"/>
        </w:numPr>
        <w:kinsoku/>
        <w:wordWrap w:val="0"/>
        <w:overflowPunct w:val="0"/>
        <w:topLinePunct w:val="0"/>
        <w:autoSpaceDE/>
        <w:autoSpaceDN/>
        <w:bidi w:val="0"/>
        <w:snapToGrid/>
        <w:spacing w:line="560" w:lineRule="atLeast"/>
        <w:jc w:val="both"/>
        <w:rPr>
          <w:rFonts w:hint="eastAsia" w:ascii="仿宋_GB2312" w:hAnsi="仿宋_GB2312" w:eastAsia="仿宋_GB2312" w:cs="仿宋_GB2312"/>
          <w:b/>
          <w:bCs/>
          <w:color w:val="auto"/>
          <w:kern w:val="2"/>
          <w:sz w:val="32"/>
          <w:szCs w:val="32"/>
          <w:lang w:val="en-US" w:eastAsia="zh-CN" w:bidi="ar-SA"/>
        </w:rPr>
      </w:pPr>
    </w:p>
    <w:p w14:paraId="5C4222A2">
      <w:pPr>
        <w:keepLines w:val="0"/>
        <w:pageBreakBefore w:val="0"/>
        <w:widowControl w:val="0"/>
        <w:numPr>
          <w:ilvl w:val="0"/>
          <w:numId w:val="0"/>
        </w:numPr>
        <w:kinsoku/>
        <w:wordWrap w:val="0"/>
        <w:overflowPunct w:val="0"/>
        <w:topLinePunct w:val="0"/>
        <w:autoSpaceDE/>
        <w:autoSpaceDN/>
        <w:bidi w:val="0"/>
        <w:snapToGrid/>
        <w:spacing w:line="560" w:lineRule="atLeast"/>
        <w:jc w:val="both"/>
        <w:rPr>
          <w:rFonts w:hint="eastAsia" w:ascii="仿宋_GB2312" w:hAnsi="仿宋_GB2312" w:eastAsia="仿宋_GB2312" w:cs="仿宋_GB2312"/>
          <w:b/>
          <w:bCs/>
          <w:color w:val="auto"/>
          <w:kern w:val="2"/>
          <w:sz w:val="32"/>
          <w:szCs w:val="32"/>
          <w:lang w:val="en-US" w:eastAsia="zh-CN" w:bidi="ar-SA"/>
        </w:rPr>
      </w:pPr>
    </w:p>
    <w:p w14:paraId="1D37296F">
      <w:pPr>
        <w:keepLines w:val="0"/>
        <w:pageBreakBefore w:val="0"/>
        <w:kinsoku/>
        <w:wordWrap w:val="0"/>
        <w:overflowPunct w:val="0"/>
        <w:topLinePunct w:val="0"/>
        <w:autoSpaceDE/>
        <w:autoSpaceDN/>
        <w:bidi w:val="0"/>
        <w:snapToGrid/>
        <w:spacing w:line="560" w:lineRule="atLeast"/>
        <w:ind w:firstLine="4480" w:firstLineChars="1400"/>
        <w:jc w:val="left"/>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参 选 人：（公章）</w:t>
      </w:r>
    </w:p>
    <w:p w14:paraId="47A74FEC">
      <w:pPr>
        <w:keepLines w:val="0"/>
        <w:pageBreakBefore w:val="0"/>
        <w:kinsoku/>
        <w:wordWrap w:val="0"/>
        <w:overflowPunct w:val="0"/>
        <w:topLinePunct w:val="0"/>
        <w:autoSpaceDE/>
        <w:autoSpaceDN/>
        <w:bidi w:val="0"/>
        <w:snapToGrid/>
        <w:spacing w:line="560" w:lineRule="atLeast"/>
        <w:ind w:firstLine="4480" w:firstLineChars="1400"/>
        <w:jc w:val="left"/>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声明日期：</w:t>
      </w:r>
    </w:p>
    <w:p w14:paraId="695DEB4E">
      <w:pPr>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br w:type="page"/>
      </w:r>
    </w:p>
    <w:p w14:paraId="4C2EA707">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五、其他材料（另附）</w:t>
      </w:r>
    </w:p>
    <w:p w14:paraId="25FE9349">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（按照比选文件规定和要求自行准备相关资格审查、综合评审等参选文件材料，制作相应的检索目录）</w:t>
      </w:r>
    </w:p>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5D785">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FCC47">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A193F">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3DA193F">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A78C5">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EC595">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51EC595">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C5D32">
    <w:pPr>
      <w:pStyle w:val="20"/>
      <w:widowControl w:val="0"/>
      <w:pBdr>
        <w:top w:val="none" w:color="auto" w:sz="0" w:space="1"/>
        <w:left w:val="none" w:color="auto" w:sz="0" w:space="4"/>
        <w:bottom w:val="none" w:color="auto" w:sz="0" w:space="1"/>
        <w:right w:val="none" w:color="auto" w:sz="0" w:space="4"/>
        <w:between w:val="none" w:color="auto" w:sz="0" w:space="0"/>
      </w:pBdr>
      <w:snapToGrid w:val="0"/>
      <w:jc w:val="both"/>
      <w:rPr>
        <w:u w:val="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10AC3">
    <w:pP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A62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A97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7AFAA4"/>
    <w:multiLevelType w:val="singleLevel"/>
    <w:tmpl w:val="B37AFAA4"/>
    <w:lvl w:ilvl="0" w:tentative="0">
      <w:start w:val="2"/>
      <w:numFmt w:val="decimal"/>
      <w:suff w:val="space"/>
      <w:lvlText w:val="%1."/>
      <w:lvlJc w:val="left"/>
    </w:lvl>
  </w:abstractNum>
  <w:abstractNum w:abstractNumId="1">
    <w:nsid w:val="C1D370D9"/>
    <w:multiLevelType w:val="singleLevel"/>
    <w:tmpl w:val="C1D370D9"/>
    <w:lvl w:ilvl="0" w:tentative="0">
      <w:start w:val="1"/>
      <w:numFmt w:val="decimal"/>
      <w:suff w:val="space"/>
      <w:lvlText w:val="%1."/>
      <w:lvlJc w:val="left"/>
      <w:pPr>
        <w:ind w:left="425" w:hanging="425"/>
      </w:pPr>
      <w:rPr>
        <w:rFonts w:hint="default"/>
        <w:sz w:val="32"/>
        <w:szCs w:val="32"/>
      </w:rPr>
    </w:lvl>
  </w:abstractNum>
  <w:abstractNum w:abstractNumId="2">
    <w:nsid w:val="D26C422F"/>
    <w:multiLevelType w:val="singleLevel"/>
    <w:tmpl w:val="D26C422F"/>
    <w:lvl w:ilvl="0" w:tentative="0">
      <w:start w:val="1"/>
      <w:numFmt w:val="decimal"/>
      <w:suff w:val="space"/>
      <w:lvlText w:val="%1."/>
      <w:lvlJc w:val="left"/>
      <w:pPr>
        <w:ind w:left="425" w:hanging="425"/>
      </w:pPr>
      <w:rPr>
        <w:rFonts w:hint="default"/>
        <w:sz w:val="32"/>
        <w:szCs w:val="32"/>
      </w:rPr>
    </w:lvl>
  </w:abstractNum>
  <w:abstractNum w:abstractNumId="3">
    <w:nsid w:val="DF4369A6"/>
    <w:multiLevelType w:val="singleLevel"/>
    <w:tmpl w:val="DF4369A6"/>
    <w:lvl w:ilvl="0" w:tentative="0">
      <w:start w:val="1"/>
      <w:numFmt w:val="decimal"/>
      <w:suff w:val="space"/>
      <w:lvlText w:val="%1."/>
      <w:lvlJc w:val="left"/>
      <w:pPr>
        <w:ind w:left="425" w:hanging="425"/>
      </w:pPr>
      <w:rPr>
        <w:rFonts w:hint="default"/>
        <w:sz w:val="32"/>
        <w:szCs w:val="32"/>
      </w:rPr>
    </w:lvl>
  </w:abstractNum>
  <w:abstractNum w:abstractNumId="4">
    <w:nsid w:val="FE3ED78E"/>
    <w:multiLevelType w:val="singleLevel"/>
    <w:tmpl w:val="FE3ED78E"/>
    <w:lvl w:ilvl="0" w:tentative="0">
      <w:start w:val="1"/>
      <w:numFmt w:val="decimal"/>
      <w:suff w:val="space"/>
      <w:lvlText w:val="%1."/>
      <w:lvlJc w:val="left"/>
      <w:pPr>
        <w:ind w:left="425" w:hanging="425"/>
      </w:pPr>
      <w:rPr>
        <w:rFonts w:hint="default"/>
        <w:sz w:val="32"/>
        <w:szCs w:val="32"/>
      </w:rPr>
    </w:lvl>
  </w:abstractNum>
  <w:abstractNum w:abstractNumId="5">
    <w:nsid w:val="FF9BE787"/>
    <w:multiLevelType w:val="singleLevel"/>
    <w:tmpl w:val="FF9BE787"/>
    <w:lvl w:ilvl="0" w:tentative="0">
      <w:start w:val="1"/>
      <w:numFmt w:val="decimal"/>
      <w:suff w:val="space"/>
      <w:lvlText w:val="%1."/>
      <w:lvlJc w:val="left"/>
      <w:pPr>
        <w:ind w:left="425" w:hanging="425"/>
      </w:pPr>
      <w:rPr>
        <w:rFonts w:hint="default"/>
        <w:sz w:val="32"/>
        <w:szCs w:val="32"/>
      </w:rPr>
    </w:lvl>
  </w:abstractNum>
  <w:abstractNum w:abstractNumId="6">
    <w:nsid w:val="3EEE41B8"/>
    <w:multiLevelType w:val="singleLevel"/>
    <w:tmpl w:val="3EEE41B8"/>
    <w:lvl w:ilvl="0" w:tentative="0">
      <w:start w:val="1"/>
      <w:numFmt w:val="lowerLetter"/>
      <w:suff w:val="space"/>
      <w:lvlText w:val="%1."/>
      <w:lvlJc w:val="left"/>
      <w:pPr>
        <w:ind w:left="425" w:hanging="425"/>
      </w:pPr>
      <w:rPr>
        <w:rFonts w:hint="default"/>
      </w:rPr>
    </w:lvl>
  </w:abstractNum>
  <w:abstractNum w:abstractNumId="7">
    <w:nsid w:val="3F606AA8"/>
    <w:multiLevelType w:val="singleLevel"/>
    <w:tmpl w:val="3F606AA8"/>
    <w:lvl w:ilvl="0" w:tentative="0">
      <w:start w:val="1"/>
      <w:numFmt w:val="decimal"/>
      <w:suff w:val="space"/>
      <w:lvlText w:val="%1."/>
      <w:lvlJc w:val="left"/>
      <w:pPr>
        <w:ind w:left="425" w:hanging="425"/>
      </w:pPr>
      <w:rPr>
        <w:rFonts w:hint="default"/>
        <w:sz w:val="32"/>
        <w:szCs w:val="32"/>
      </w:rPr>
    </w:lvl>
  </w:abstractNum>
  <w:abstractNum w:abstractNumId="8">
    <w:nsid w:val="54B53EF5"/>
    <w:multiLevelType w:val="singleLevel"/>
    <w:tmpl w:val="54B53EF5"/>
    <w:lvl w:ilvl="0" w:tentative="0">
      <w:start w:val="1"/>
      <w:numFmt w:val="decimal"/>
      <w:suff w:val="space"/>
      <w:lvlText w:val="(%1)"/>
      <w:lvlJc w:val="left"/>
    </w:lvl>
  </w:abstractNum>
  <w:abstractNum w:abstractNumId="9">
    <w:nsid w:val="7477D661"/>
    <w:multiLevelType w:val="singleLevel"/>
    <w:tmpl w:val="7477D661"/>
    <w:lvl w:ilvl="0" w:tentative="0">
      <w:start w:val="1"/>
      <w:numFmt w:val="chineseCounting"/>
      <w:suff w:val="nothing"/>
      <w:lvlText w:val="%1、"/>
      <w:lvlJc w:val="left"/>
      <w:pPr>
        <w:ind w:left="0" w:firstLine="420"/>
      </w:pPr>
      <w:rPr>
        <w:rFonts w:hint="eastAsia"/>
      </w:rPr>
    </w:lvl>
  </w:abstractNum>
  <w:num w:numId="1">
    <w:abstractNumId w:val="2"/>
  </w:num>
  <w:num w:numId="2">
    <w:abstractNumId w:val="8"/>
  </w:num>
  <w:num w:numId="3">
    <w:abstractNumId w:val="4"/>
  </w:num>
  <w:num w:numId="4">
    <w:abstractNumId w:val="7"/>
  </w:num>
  <w:num w:numId="5">
    <w:abstractNumId w:val="3"/>
  </w:num>
  <w:num w:numId="6">
    <w:abstractNumId w:val="5"/>
  </w:num>
  <w:num w:numId="7">
    <w:abstractNumId w:val="6"/>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iNjRjYzkzYWEzMGM5MDY1MGExYTliNGQwMDhmNzUifQ=="/>
    <w:docVar w:name="KSO_WPS_MARK_KEY" w:val="a9f9d857-5cd4-4cb4-bcf5-f56efcb3fcac"/>
  </w:docVars>
  <w:rsids>
    <w:rsidRoot w:val="00172A27"/>
    <w:rsid w:val="00000874"/>
    <w:rsid w:val="000049D3"/>
    <w:rsid w:val="00016FC9"/>
    <w:rsid w:val="00037F53"/>
    <w:rsid w:val="0004364F"/>
    <w:rsid w:val="00046784"/>
    <w:rsid w:val="00047A23"/>
    <w:rsid w:val="0005193B"/>
    <w:rsid w:val="000605CA"/>
    <w:rsid w:val="00063C2F"/>
    <w:rsid w:val="00077BDC"/>
    <w:rsid w:val="000800BC"/>
    <w:rsid w:val="00084FB3"/>
    <w:rsid w:val="000853A6"/>
    <w:rsid w:val="00087470"/>
    <w:rsid w:val="00092B5F"/>
    <w:rsid w:val="000950B5"/>
    <w:rsid w:val="000A4264"/>
    <w:rsid w:val="000A6638"/>
    <w:rsid w:val="000B6854"/>
    <w:rsid w:val="000C1171"/>
    <w:rsid w:val="000C3315"/>
    <w:rsid w:val="000C6D61"/>
    <w:rsid w:val="000E372D"/>
    <w:rsid w:val="00102B6E"/>
    <w:rsid w:val="00127246"/>
    <w:rsid w:val="00132254"/>
    <w:rsid w:val="00144BA5"/>
    <w:rsid w:val="00146CB9"/>
    <w:rsid w:val="00165A8C"/>
    <w:rsid w:val="00172A27"/>
    <w:rsid w:val="001744CA"/>
    <w:rsid w:val="001A3555"/>
    <w:rsid w:val="001A4F54"/>
    <w:rsid w:val="001B28FB"/>
    <w:rsid w:val="001C0282"/>
    <w:rsid w:val="00206DC1"/>
    <w:rsid w:val="00222946"/>
    <w:rsid w:val="00237B11"/>
    <w:rsid w:val="00256391"/>
    <w:rsid w:val="002A1E4E"/>
    <w:rsid w:val="002A5851"/>
    <w:rsid w:val="002B16A6"/>
    <w:rsid w:val="002B19DD"/>
    <w:rsid w:val="002B2170"/>
    <w:rsid w:val="002B48CF"/>
    <w:rsid w:val="002C6602"/>
    <w:rsid w:val="002C72EF"/>
    <w:rsid w:val="002D269B"/>
    <w:rsid w:val="002D3DB1"/>
    <w:rsid w:val="002F214E"/>
    <w:rsid w:val="003031CC"/>
    <w:rsid w:val="0032075E"/>
    <w:rsid w:val="00322625"/>
    <w:rsid w:val="003448F6"/>
    <w:rsid w:val="00345C7D"/>
    <w:rsid w:val="00346052"/>
    <w:rsid w:val="00350E09"/>
    <w:rsid w:val="003532FE"/>
    <w:rsid w:val="00364380"/>
    <w:rsid w:val="00367151"/>
    <w:rsid w:val="00387B17"/>
    <w:rsid w:val="00396368"/>
    <w:rsid w:val="003B0727"/>
    <w:rsid w:val="003B2922"/>
    <w:rsid w:val="003B5818"/>
    <w:rsid w:val="003C0EFE"/>
    <w:rsid w:val="003C2ED0"/>
    <w:rsid w:val="003C510B"/>
    <w:rsid w:val="003C76C4"/>
    <w:rsid w:val="003D16C0"/>
    <w:rsid w:val="003F1955"/>
    <w:rsid w:val="0042139B"/>
    <w:rsid w:val="00432BA8"/>
    <w:rsid w:val="00461792"/>
    <w:rsid w:val="00485313"/>
    <w:rsid w:val="004875D4"/>
    <w:rsid w:val="004A0E70"/>
    <w:rsid w:val="004A1198"/>
    <w:rsid w:val="004A4C7F"/>
    <w:rsid w:val="004A53FF"/>
    <w:rsid w:val="004A58B1"/>
    <w:rsid w:val="004B5E16"/>
    <w:rsid w:val="004D14EF"/>
    <w:rsid w:val="004D21D6"/>
    <w:rsid w:val="00500F27"/>
    <w:rsid w:val="00501E34"/>
    <w:rsid w:val="00502C8B"/>
    <w:rsid w:val="00507817"/>
    <w:rsid w:val="00532B62"/>
    <w:rsid w:val="00540C89"/>
    <w:rsid w:val="005442BC"/>
    <w:rsid w:val="00555BA3"/>
    <w:rsid w:val="0055702D"/>
    <w:rsid w:val="00561C96"/>
    <w:rsid w:val="00576D3D"/>
    <w:rsid w:val="005815FE"/>
    <w:rsid w:val="00583EC7"/>
    <w:rsid w:val="00585B57"/>
    <w:rsid w:val="00586B85"/>
    <w:rsid w:val="00591C14"/>
    <w:rsid w:val="00592F40"/>
    <w:rsid w:val="005A7208"/>
    <w:rsid w:val="005B4995"/>
    <w:rsid w:val="005B6208"/>
    <w:rsid w:val="005D0572"/>
    <w:rsid w:val="005D4BF0"/>
    <w:rsid w:val="005E1755"/>
    <w:rsid w:val="005E5FAA"/>
    <w:rsid w:val="005E7250"/>
    <w:rsid w:val="005F5E9A"/>
    <w:rsid w:val="005F7A0C"/>
    <w:rsid w:val="00601F4D"/>
    <w:rsid w:val="00604ACA"/>
    <w:rsid w:val="0061026E"/>
    <w:rsid w:val="006122E8"/>
    <w:rsid w:val="006219B4"/>
    <w:rsid w:val="00625F32"/>
    <w:rsid w:val="00637E26"/>
    <w:rsid w:val="0064262E"/>
    <w:rsid w:val="006535F2"/>
    <w:rsid w:val="00662D7E"/>
    <w:rsid w:val="006665EE"/>
    <w:rsid w:val="0067337D"/>
    <w:rsid w:val="00690D9C"/>
    <w:rsid w:val="00691CBB"/>
    <w:rsid w:val="00692FA7"/>
    <w:rsid w:val="006953C3"/>
    <w:rsid w:val="0069599E"/>
    <w:rsid w:val="006A1CC8"/>
    <w:rsid w:val="006A30C5"/>
    <w:rsid w:val="006A7B51"/>
    <w:rsid w:val="006B1475"/>
    <w:rsid w:val="006C0471"/>
    <w:rsid w:val="006C1BCE"/>
    <w:rsid w:val="006D6D9C"/>
    <w:rsid w:val="0070037C"/>
    <w:rsid w:val="00700F5C"/>
    <w:rsid w:val="00702B26"/>
    <w:rsid w:val="00712AE5"/>
    <w:rsid w:val="00720B67"/>
    <w:rsid w:val="00720BCA"/>
    <w:rsid w:val="00725F04"/>
    <w:rsid w:val="00735FD3"/>
    <w:rsid w:val="00741E40"/>
    <w:rsid w:val="00742E97"/>
    <w:rsid w:val="007548EE"/>
    <w:rsid w:val="00760A66"/>
    <w:rsid w:val="00762994"/>
    <w:rsid w:val="007630E6"/>
    <w:rsid w:val="007701BA"/>
    <w:rsid w:val="00774297"/>
    <w:rsid w:val="00782A06"/>
    <w:rsid w:val="00784684"/>
    <w:rsid w:val="00784B5E"/>
    <w:rsid w:val="00792F77"/>
    <w:rsid w:val="00796AD7"/>
    <w:rsid w:val="007A51B4"/>
    <w:rsid w:val="007A51E0"/>
    <w:rsid w:val="007A7D81"/>
    <w:rsid w:val="007B32B0"/>
    <w:rsid w:val="007C328B"/>
    <w:rsid w:val="007C6BDC"/>
    <w:rsid w:val="007E15EC"/>
    <w:rsid w:val="007E3021"/>
    <w:rsid w:val="007E4898"/>
    <w:rsid w:val="007F230B"/>
    <w:rsid w:val="00800847"/>
    <w:rsid w:val="008008E9"/>
    <w:rsid w:val="0080179B"/>
    <w:rsid w:val="00807EFE"/>
    <w:rsid w:val="00814F51"/>
    <w:rsid w:val="00815CDF"/>
    <w:rsid w:val="00830242"/>
    <w:rsid w:val="00833EC0"/>
    <w:rsid w:val="008374CD"/>
    <w:rsid w:val="008401C0"/>
    <w:rsid w:val="008519D2"/>
    <w:rsid w:val="00851B03"/>
    <w:rsid w:val="00854C66"/>
    <w:rsid w:val="00855E0A"/>
    <w:rsid w:val="00856035"/>
    <w:rsid w:val="0086473D"/>
    <w:rsid w:val="00864A2A"/>
    <w:rsid w:val="00864C1F"/>
    <w:rsid w:val="00897070"/>
    <w:rsid w:val="008A2241"/>
    <w:rsid w:val="008A4C56"/>
    <w:rsid w:val="008B1B72"/>
    <w:rsid w:val="008B5614"/>
    <w:rsid w:val="008B6FDC"/>
    <w:rsid w:val="008E401B"/>
    <w:rsid w:val="008F0653"/>
    <w:rsid w:val="00913E3F"/>
    <w:rsid w:val="00924B2A"/>
    <w:rsid w:val="00931CEB"/>
    <w:rsid w:val="00932C6B"/>
    <w:rsid w:val="009431B2"/>
    <w:rsid w:val="00943933"/>
    <w:rsid w:val="00963006"/>
    <w:rsid w:val="00965F10"/>
    <w:rsid w:val="00975D66"/>
    <w:rsid w:val="00992D7C"/>
    <w:rsid w:val="00994107"/>
    <w:rsid w:val="00995A98"/>
    <w:rsid w:val="009A1351"/>
    <w:rsid w:val="009B009A"/>
    <w:rsid w:val="009B66F6"/>
    <w:rsid w:val="009C12C6"/>
    <w:rsid w:val="009C2F30"/>
    <w:rsid w:val="009C3AC1"/>
    <w:rsid w:val="009C3F8B"/>
    <w:rsid w:val="00A0266D"/>
    <w:rsid w:val="00A07243"/>
    <w:rsid w:val="00A13545"/>
    <w:rsid w:val="00A23B85"/>
    <w:rsid w:val="00A350CD"/>
    <w:rsid w:val="00A36C8B"/>
    <w:rsid w:val="00A379B4"/>
    <w:rsid w:val="00A43FA2"/>
    <w:rsid w:val="00A4682D"/>
    <w:rsid w:val="00A564BE"/>
    <w:rsid w:val="00A81904"/>
    <w:rsid w:val="00A81D22"/>
    <w:rsid w:val="00A9063A"/>
    <w:rsid w:val="00A93FC2"/>
    <w:rsid w:val="00AA0B0F"/>
    <w:rsid w:val="00AB4A6E"/>
    <w:rsid w:val="00AB6C67"/>
    <w:rsid w:val="00AC2892"/>
    <w:rsid w:val="00AE4CEE"/>
    <w:rsid w:val="00AE4DDB"/>
    <w:rsid w:val="00AE6DD2"/>
    <w:rsid w:val="00AF518E"/>
    <w:rsid w:val="00B10E50"/>
    <w:rsid w:val="00B43049"/>
    <w:rsid w:val="00B44AC3"/>
    <w:rsid w:val="00B5364A"/>
    <w:rsid w:val="00B6394B"/>
    <w:rsid w:val="00B640AB"/>
    <w:rsid w:val="00B72FBC"/>
    <w:rsid w:val="00B84C5E"/>
    <w:rsid w:val="00B850F5"/>
    <w:rsid w:val="00B9052A"/>
    <w:rsid w:val="00B97F47"/>
    <w:rsid w:val="00BA662E"/>
    <w:rsid w:val="00BA6A57"/>
    <w:rsid w:val="00BA6F7B"/>
    <w:rsid w:val="00BB1100"/>
    <w:rsid w:val="00BC0985"/>
    <w:rsid w:val="00BC3762"/>
    <w:rsid w:val="00BD1EB8"/>
    <w:rsid w:val="00BF1379"/>
    <w:rsid w:val="00BF232D"/>
    <w:rsid w:val="00BF3E34"/>
    <w:rsid w:val="00BF53EA"/>
    <w:rsid w:val="00C11144"/>
    <w:rsid w:val="00C1485E"/>
    <w:rsid w:val="00C318B4"/>
    <w:rsid w:val="00C3786A"/>
    <w:rsid w:val="00C40827"/>
    <w:rsid w:val="00C4225A"/>
    <w:rsid w:val="00C42CBB"/>
    <w:rsid w:val="00C620D5"/>
    <w:rsid w:val="00C70871"/>
    <w:rsid w:val="00C71333"/>
    <w:rsid w:val="00C77B49"/>
    <w:rsid w:val="00C834FB"/>
    <w:rsid w:val="00C967BD"/>
    <w:rsid w:val="00CA1292"/>
    <w:rsid w:val="00CA43E8"/>
    <w:rsid w:val="00CB17B5"/>
    <w:rsid w:val="00CE2C34"/>
    <w:rsid w:val="00CF538A"/>
    <w:rsid w:val="00D01523"/>
    <w:rsid w:val="00D039E4"/>
    <w:rsid w:val="00D03D86"/>
    <w:rsid w:val="00D1160D"/>
    <w:rsid w:val="00D14BC9"/>
    <w:rsid w:val="00D25D6C"/>
    <w:rsid w:val="00D41AE8"/>
    <w:rsid w:val="00D42B1D"/>
    <w:rsid w:val="00D4595F"/>
    <w:rsid w:val="00D55872"/>
    <w:rsid w:val="00D62443"/>
    <w:rsid w:val="00D7202E"/>
    <w:rsid w:val="00D76345"/>
    <w:rsid w:val="00D76E81"/>
    <w:rsid w:val="00D80A78"/>
    <w:rsid w:val="00D877B8"/>
    <w:rsid w:val="00DA6448"/>
    <w:rsid w:val="00DB2EDA"/>
    <w:rsid w:val="00DB58F6"/>
    <w:rsid w:val="00DC1492"/>
    <w:rsid w:val="00DD22D3"/>
    <w:rsid w:val="00DD58EE"/>
    <w:rsid w:val="00DD70FE"/>
    <w:rsid w:val="00DE0F10"/>
    <w:rsid w:val="00DE1C8F"/>
    <w:rsid w:val="00DF274A"/>
    <w:rsid w:val="00E10914"/>
    <w:rsid w:val="00E12D3E"/>
    <w:rsid w:val="00E131F0"/>
    <w:rsid w:val="00E1352B"/>
    <w:rsid w:val="00E1475B"/>
    <w:rsid w:val="00E23D67"/>
    <w:rsid w:val="00E2742D"/>
    <w:rsid w:val="00E43A42"/>
    <w:rsid w:val="00E5034C"/>
    <w:rsid w:val="00E53D99"/>
    <w:rsid w:val="00E6718C"/>
    <w:rsid w:val="00E843F5"/>
    <w:rsid w:val="00EC219C"/>
    <w:rsid w:val="00ED0BF5"/>
    <w:rsid w:val="00ED429D"/>
    <w:rsid w:val="00EE2EEA"/>
    <w:rsid w:val="00EE3D9B"/>
    <w:rsid w:val="00EE4149"/>
    <w:rsid w:val="00EE6CA0"/>
    <w:rsid w:val="00EE78CE"/>
    <w:rsid w:val="00EF7D17"/>
    <w:rsid w:val="00F05B4E"/>
    <w:rsid w:val="00F108D2"/>
    <w:rsid w:val="00F13ED0"/>
    <w:rsid w:val="00F17A1E"/>
    <w:rsid w:val="00F36DB1"/>
    <w:rsid w:val="00F435F0"/>
    <w:rsid w:val="00F474CC"/>
    <w:rsid w:val="00F6093D"/>
    <w:rsid w:val="00F65713"/>
    <w:rsid w:val="00F6791F"/>
    <w:rsid w:val="00F73944"/>
    <w:rsid w:val="00F8090B"/>
    <w:rsid w:val="00F81924"/>
    <w:rsid w:val="00FA2C26"/>
    <w:rsid w:val="00FB1A13"/>
    <w:rsid w:val="00FB3C74"/>
    <w:rsid w:val="00FB4EC3"/>
    <w:rsid w:val="00FC195D"/>
    <w:rsid w:val="00FC22EA"/>
    <w:rsid w:val="00FD380F"/>
    <w:rsid w:val="00FD7C4C"/>
    <w:rsid w:val="00FD7E73"/>
    <w:rsid w:val="00FE35FB"/>
    <w:rsid w:val="00FE6C16"/>
    <w:rsid w:val="0147778C"/>
    <w:rsid w:val="014B63DA"/>
    <w:rsid w:val="01522A06"/>
    <w:rsid w:val="01577FD3"/>
    <w:rsid w:val="0171244A"/>
    <w:rsid w:val="017B0EFC"/>
    <w:rsid w:val="018934FB"/>
    <w:rsid w:val="018F1D3D"/>
    <w:rsid w:val="019A01D8"/>
    <w:rsid w:val="01B377B2"/>
    <w:rsid w:val="01B666C0"/>
    <w:rsid w:val="01BF37C7"/>
    <w:rsid w:val="01C67901"/>
    <w:rsid w:val="01E266D2"/>
    <w:rsid w:val="01E30D70"/>
    <w:rsid w:val="01E561D5"/>
    <w:rsid w:val="01F66B05"/>
    <w:rsid w:val="02062D92"/>
    <w:rsid w:val="020F7B7E"/>
    <w:rsid w:val="02144A0D"/>
    <w:rsid w:val="023B6BC5"/>
    <w:rsid w:val="02453754"/>
    <w:rsid w:val="02557B17"/>
    <w:rsid w:val="025D604B"/>
    <w:rsid w:val="026305F6"/>
    <w:rsid w:val="026558D4"/>
    <w:rsid w:val="027110AD"/>
    <w:rsid w:val="027E16CE"/>
    <w:rsid w:val="02810A7C"/>
    <w:rsid w:val="02A209F3"/>
    <w:rsid w:val="02B218A4"/>
    <w:rsid w:val="02B336C9"/>
    <w:rsid w:val="02B60B1A"/>
    <w:rsid w:val="02D04596"/>
    <w:rsid w:val="02D5250B"/>
    <w:rsid w:val="02DA5D23"/>
    <w:rsid w:val="030E439F"/>
    <w:rsid w:val="03170DFC"/>
    <w:rsid w:val="031F4373"/>
    <w:rsid w:val="032A1453"/>
    <w:rsid w:val="032E6045"/>
    <w:rsid w:val="0330267E"/>
    <w:rsid w:val="03317123"/>
    <w:rsid w:val="0342095A"/>
    <w:rsid w:val="03433F84"/>
    <w:rsid w:val="034F1CC1"/>
    <w:rsid w:val="037167E7"/>
    <w:rsid w:val="037203C5"/>
    <w:rsid w:val="0379443F"/>
    <w:rsid w:val="038B1487"/>
    <w:rsid w:val="03AB417D"/>
    <w:rsid w:val="03BF5108"/>
    <w:rsid w:val="03C03826"/>
    <w:rsid w:val="03D34E1A"/>
    <w:rsid w:val="03F05872"/>
    <w:rsid w:val="042A37F0"/>
    <w:rsid w:val="042E5C95"/>
    <w:rsid w:val="04430447"/>
    <w:rsid w:val="044D23F5"/>
    <w:rsid w:val="044D7086"/>
    <w:rsid w:val="047D1B8C"/>
    <w:rsid w:val="049113A1"/>
    <w:rsid w:val="049502F0"/>
    <w:rsid w:val="049820AD"/>
    <w:rsid w:val="04A86794"/>
    <w:rsid w:val="04A92FBF"/>
    <w:rsid w:val="04BC223F"/>
    <w:rsid w:val="04F901EE"/>
    <w:rsid w:val="04FA5037"/>
    <w:rsid w:val="050677C6"/>
    <w:rsid w:val="050822C5"/>
    <w:rsid w:val="05094D59"/>
    <w:rsid w:val="051A51DF"/>
    <w:rsid w:val="05212F54"/>
    <w:rsid w:val="05504C67"/>
    <w:rsid w:val="05567E58"/>
    <w:rsid w:val="0567786F"/>
    <w:rsid w:val="056D1045"/>
    <w:rsid w:val="056F2E0E"/>
    <w:rsid w:val="056F5716"/>
    <w:rsid w:val="05731C06"/>
    <w:rsid w:val="057F30E2"/>
    <w:rsid w:val="058014BF"/>
    <w:rsid w:val="059B712F"/>
    <w:rsid w:val="05AE154D"/>
    <w:rsid w:val="05B2077F"/>
    <w:rsid w:val="05C02FE7"/>
    <w:rsid w:val="05DC421B"/>
    <w:rsid w:val="05FA539F"/>
    <w:rsid w:val="05FC5DAB"/>
    <w:rsid w:val="060043D3"/>
    <w:rsid w:val="06071402"/>
    <w:rsid w:val="0609125E"/>
    <w:rsid w:val="061B5A7A"/>
    <w:rsid w:val="061F001A"/>
    <w:rsid w:val="062C76ED"/>
    <w:rsid w:val="06407B57"/>
    <w:rsid w:val="06456265"/>
    <w:rsid w:val="064C13A1"/>
    <w:rsid w:val="064E627E"/>
    <w:rsid w:val="06621C09"/>
    <w:rsid w:val="066456F7"/>
    <w:rsid w:val="066B1801"/>
    <w:rsid w:val="068316CE"/>
    <w:rsid w:val="069D1752"/>
    <w:rsid w:val="06E1569F"/>
    <w:rsid w:val="06E64825"/>
    <w:rsid w:val="06EF6229"/>
    <w:rsid w:val="071224BF"/>
    <w:rsid w:val="074E0CC4"/>
    <w:rsid w:val="074F739B"/>
    <w:rsid w:val="07533A0A"/>
    <w:rsid w:val="0757624F"/>
    <w:rsid w:val="076648B5"/>
    <w:rsid w:val="077213D5"/>
    <w:rsid w:val="077C551A"/>
    <w:rsid w:val="07941EF7"/>
    <w:rsid w:val="079E04F6"/>
    <w:rsid w:val="07AD5E6F"/>
    <w:rsid w:val="07B627CE"/>
    <w:rsid w:val="07B62F76"/>
    <w:rsid w:val="07CD5180"/>
    <w:rsid w:val="07F716F9"/>
    <w:rsid w:val="07FE404B"/>
    <w:rsid w:val="08061F6D"/>
    <w:rsid w:val="080B7E0D"/>
    <w:rsid w:val="08285B98"/>
    <w:rsid w:val="08570A44"/>
    <w:rsid w:val="0860725C"/>
    <w:rsid w:val="087470D4"/>
    <w:rsid w:val="08907C6B"/>
    <w:rsid w:val="0892699A"/>
    <w:rsid w:val="08971A59"/>
    <w:rsid w:val="089D7C92"/>
    <w:rsid w:val="08AC25CB"/>
    <w:rsid w:val="08B35558"/>
    <w:rsid w:val="08C03ABF"/>
    <w:rsid w:val="08C822CB"/>
    <w:rsid w:val="08D20622"/>
    <w:rsid w:val="08D51F99"/>
    <w:rsid w:val="08E33EE3"/>
    <w:rsid w:val="08E76DF3"/>
    <w:rsid w:val="08E77F9A"/>
    <w:rsid w:val="0907217D"/>
    <w:rsid w:val="09097F7F"/>
    <w:rsid w:val="093D74D6"/>
    <w:rsid w:val="093D7D29"/>
    <w:rsid w:val="0955209F"/>
    <w:rsid w:val="09562A81"/>
    <w:rsid w:val="09640205"/>
    <w:rsid w:val="0966277A"/>
    <w:rsid w:val="096A04BC"/>
    <w:rsid w:val="097963AA"/>
    <w:rsid w:val="09985A97"/>
    <w:rsid w:val="09A3752A"/>
    <w:rsid w:val="09A40D87"/>
    <w:rsid w:val="09BC3524"/>
    <w:rsid w:val="09D607F3"/>
    <w:rsid w:val="09E87633"/>
    <w:rsid w:val="09EB30CC"/>
    <w:rsid w:val="09F71624"/>
    <w:rsid w:val="0A011493"/>
    <w:rsid w:val="0A04030C"/>
    <w:rsid w:val="0A0A218D"/>
    <w:rsid w:val="0A195A3E"/>
    <w:rsid w:val="0A291D10"/>
    <w:rsid w:val="0A3960E0"/>
    <w:rsid w:val="0A4505E1"/>
    <w:rsid w:val="0A4800D1"/>
    <w:rsid w:val="0A4E4E55"/>
    <w:rsid w:val="0A851144"/>
    <w:rsid w:val="0A903623"/>
    <w:rsid w:val="0A924C41"/>
    <w:rsid w:val="0AA255E1"/>
    <w:rsid w:val="0AA947CA"/>
    <w:rsid w:val="0AB45767"/>
    <w:rsid w:val="0AD41965"/>
    <w:rsid w:val="0ADA59C5"/>
    <w:rsid w:val="0ADF4857"/>
    <w:rsid w:val="0B34518E"/>
    <w:rsid w:val="0B430CAA"/>
    <w:rsid w:val="0B784D07"/>
    <w:rsid w:val="0B7C7990"/>
    <w:rsid w:val="0B804877"/>
    <w:rsid w:val="0B88466D"/>
    <w:rsid w:val="0BAE4D7B"/>
    <w:rsid w:val="0BCE022F"/>
    <w:rsid w:val="0BD748B4"/>
    <w:rsid w:val="0BE1508B"/>
    <w:rsid w:val="0BE870ED"/>
    <w:rsid w:val="0BF35F2D"/>
    <w:rsid w:val="0C0B13B7"/>
    <w:rsid w:val="0C122745"/>
    <w:rsid w:val="0C136F68"/>
    <w:rsid w:val="0C152235"/>
    <w:rsid w:val="0C1D747E"/>
    <w:rsid w:val="0C693884"/>
    <w:rsid w:val="0C7A1229"/>
    <w:rsid w:val="0C9F5E74"/>
    <w:rsid w:val="0CB55175"/>
    <w:rsid w:val="0CC53C5B"/>
    <w:rsid w:val="0CF32FF4"/>
    <w:rsid w:val="0D015536"/>
    <w:rsid w:val="0D081E01"/>
    <w:rsid w:val="0D145E24"/>
    <w:rsid w:val="0D15511D"/>
    <w:rsid w:val="0D211A66"/>
    <w:rsid w:val="0D314E4D"/>
    <w:rsid w:val="0D421EEC"/>
    <w:rsid w:val="0D53672A"/>
    <w:rsid w:val="0D666CF8"/>
    <w:rsid w:val="0DAD4F19"/>
    <w:rsid w:val="0DBB6067"/>
    <w:rsid w:val="0DD36B7F"/>
    <w:rsid w:val="0DE545B5"/>
    <w:rsid w:val="0DE54690"/>
    <w:rsid w:val="0DE93610"/>
    <w:rsid w:val="0DE97897"/>
    <w:rsid w:val="0DED5C8E"/>
    <w:rsid w:val="0DF540CC"/>
    <w:rsid w:val="0DFC5153"/>
    <w:rsid w:val="0E002C66"/>
    <w:rsid w:val="0E04629A"/>
    <w:rsid w:val="0E181288"/>
    <w:rsid w:val="0E1D755D"/>
    <w:rsid w:val="0E2558DB"/>
    <w:rsid w:val="0E285A16"/>
    <w:rsid w:val="0E291E69"/>
    <w:rsid w:val="0E2D7D0A"/>
    <w:rsid w:val="0E37099D"/>
    <w:rsid w:val="0E392026"/>
    <w:rsid w:val="0E5057A7"/>
    <w:rsid w:val="0E5F743D"/>
    <w:rsid w:val="0E6E46FD"/>
    <w:rsid w:val="0E7057D3"/>
    <w:rsid w:val="0E9E344E"/>
    <w:rsid w:val="0EC01CAD"/>
    <w:rsid w:val="0ED52B47"/>
    <w:rsid w:val="0ED664A3"/>
    <w:rsid w:val="0EE76800"/>
    <w:rsid w:val="0F031221"/>
    <w:rsid w:val="0F0F408A"/>
    <w:rsid w:val="0F31382A"/>
    <w:rsid w:val="0F3B3551"/>
    <w:rsid w:val="0F3C01F3"/>
    <w:rsid w:val="0F3C461F"/>
    <w:rsid w:val="0F425B7F"/>
    <w:rsid w:val="0F490007"/>
    <w:rsid w:val="0F4E527D"/>
    <w:rsid w:val="0F507886"/>
    <w:rsid w:val="0F7B1AD0"/>
    <w:rsid w:val="0F947E76"/>
    <w:rsid w:val="0F96368D"/>
    <w:rsid w:val="0F9863A8"/>
    <w:rsid w:val="0FBC5AAE"/>
    <w:rsid w:val="0FD22917"/>
    <w:rsid w:val="0FD32938"/>
    <w:rsid w:val="0FEC3623"/>
    <w:rsid w:val="10084600"/>
    <w:rsid w:val="10143BE6"/>
    <w:rsid w:val="102E2EDB"/>
    <w:rsid w:val="10511036"/>
    <w:rsid w:val="10582192"/>
    <w:rsid w:val="105F2E0B"/>
    <w:rsid w:val="10786CA5"/>
    <w:rsid w:val="10792ECD"/>
    <w:rsid w:val="107B5304"/>
    <w:rsid w:val="109978FA"/>
    <w:rsid w:val="10AD1D66"/>
    <w:rsid w:val="10B32711"/>
    <w:rsid w:val="10D0328F"/>
    <w:rsid w:val="10FF3EB3"/>
    <w:rsid w:val="11005262"/>
    <w:rsid w:val="110A4333"/>
    <w:rsid w:val="110F7B9B"/>
    <w:rsid w:val="111451B1"/>
    <w:rsid w:val="111F5990"/>
    <w:rsid w:val="113A0A1A"/>
    <w:rsid w:val="1167671A"/>
    <w:rsid w:val="11A472FC"/>
    <w:rsid w:val="11AA55A7"/>
    <w:rsid w:val="11B063B0"/>
    <w:rsid w:val="11C10E95"/>
    <w:rsid w:val="11D84431"/>
    <w:rsid w:val="11E176DE"/>
    <w:rsid w:val="12093457"/>
    <w:rsid w:val="120F1AA7"/>
    <w:rsid w:val="121743FD"/>
    <w:rsid w:val="121C07D7"/>
    <w:rsid w:val="121C3257"/>
    <w:rsid w:val="12265672"/>
    <w:rsid w:val="122F5385"/>
    <w:rsid w:val="12582E7C"/>
    <w:rsid w:val="125A4E46"/>
    <w:rsid w:val="1268375C"/>
    <w:rsid w:val="12A12966"/>
    <w:rsid w:val="12AA36D7"/>
    <w:rsid w:val="12B2782E"/>
    <w:rsid w:val="12B410CE"/>
    <w:rsid w:val="12B502CE"/>
    <w:rsid w:val="12C3394B"/>
    <w:rsid w:val="12C50511"/>
    <w:rsid w:val="12C86530"/>
    <w:rsid w:val="12CD3582"/>
    <w:rsid w:val="12E64659"/>
    <w:rsid w:val="12F7727B"/>
    <w:rsid w:val="130354DD"/>
    <w:rsid w:val="130A7D02"/>
    <w:rsid w:val="133A2B6A"/>
    <w:rsid w:val="133E2072"/>
    <w:rsid w:val="13443E2F"/>
    <w:rsid w:val="13594772"/>
    <w:rsid w:val="13935E9F"/>
    <w:rsid w:val="13AD66D1"/>
    <w:rsid w:val="13AF028F"/>
    <w:rsid w:val="13B007B4"/>
    <w:rsid w:val="13CA5BD9"/>
    <w:rsid w:val="13D80718"/>
    <w:rsid w:val="14031F8C"/>
    <w:rsid w:val="1404367A"/>
    <w:rsid w:val="140937EE"/>
    <w:rsid w:val="14096C37"/>
    <w:rsid w:val="14107C94"/>
    <w:rsid w:val="14554DDF"/>
    <w:rsid w:val="147E5046"/>
    <w:rsid w:val="149A3C1F"/>
    <w:rsid w:val="14B44CE1"/>
    <w:rsid w:val="14E86739"/>
    <w:rsid w:val="14F055ED"/>
    <w:rsid w:val="15073AD9"/>
    <w:rsid w:val="15233C15"/>
    <w:rsid w:val="154124DE"/>
    <w:rsid w:val="15510C81"/>
    <w:rsid w:val="156C3FC0"/>
    <w:rsid w:val="156D5113"/>
    <w:rsid w:val="157E05B3"/>
    <w:rsid w:val="15853F88"/>
    <w:rsid w:val="159C5D09"/>
    <w:rsid w:val="15A54839"/>
    <w:rsid w:val="15AA1458"/>
    <w:rsid w:val="15AA1C40"/>
    <w:rsid w:val="15B260E2"/>
    <w:rsid w:val="15CA437E"/>
    <w:rsid w:val="15D07FFA"/>
    <w:rsid w:val="15D13C8F"/>
    <w:rsid w:val="16106380"/>
    <w:rsid w:val="1633028D"/>
    <w:rsid w:val="164E4CC1"/>
    <w:rsid w:val="164F5F6D"/>
    <w:rsid w:val="16514BA0"/>
    <w:rsid w:val="16552233"/>
    <w:rsid w:val="165A02A9"/>
    <w:rsid w:val="165E3157"/>
    <w:rsid w:val="166714E7"/>
    <w:rsid w:val="166E5566"/>
    <w:rsid w:val="166F7483"/>
    <w:rsid w:val="16702E8A"/>
    <w:rsid w:val="16956C0D"/>
    <w:rsid w:val="1696242A"/>
    <w:rsid w:val="169C77DB"/>
    <w:rsid w:val="16AA1541"/>
    <w:rsid w:val="16CA07EC"/>
    <w:rsid w:val="16EF2001"/>
    <w:rsid w:val="16F13FCB"/>
    <w:rsid w:val="170A0375"/>
    <w:rsid w:val="17137B51"/>
    <w:rsid w:val="171657DF"/>
    <w:rsid w:val="17251405"/>
    <w:rsid w:val="17294DEE"/>
    <w:rsid w:val="172D48D7"/>
    <w:rsid w:val="1738222C"/>
    <w:rsid w:val="174A5489"/>
    <w:rsid w:val="17564279"/>
    <w:rsid w:val="175C6552"/>
    <w:rsid w:val="17B5540C"/>
    <w:rsid w:val="17BD41A1"/>
    <w:rsid w:val="17CF2948"/>
    <w:rsid w:val="17E248C6"/>
    <w:rsid w:val="17EC3F1E"/>
    <w:rsid w:val="18064BF2"/>
    <w:rsid w:val="18104D4C"/>
    <w:rsid w:val="181141F9"/>
    <w:rsid w:val="182C6135"/>
    <w:rsid w:val="18402BA2"/>
    <w:rsid w:val="18616F2E"/>
    <w:rsid w:val="18850944"/>
    <w:rsid w:val="189C053F"/>
    <w:rsid w:val="18A065BF"/>
    <w:rsid w:val="18B21538"/>
    <w:rsid w:val="18C4126B"/>
    <w:rsid w:val="18C50D81"/>
    <w:rsid w:val="18E31559"/>
    <w:rsid w:val="18E95A28"/>
    <w:rsid w:val="18F22558"/>
    <w:rsid w:val="18F92486"/>
    <w:rsid w:val="18FC7A32"/>
    <w:rsid w:val="18FF7EBE"/>
    <w:rsid w:val="19053C83"/>
    <w:rsid w:val="190F6CF4"/>
    <w:rsid w:val="19255199"/>
    <w:rsid w:val="192B12EA"/>
    <w:rsid w:val="194435D6"/>
    <w:rsid w:val="19474C51"/>
    <w:rsid w:val="19526BFE"/>
    <w:rsid w:val="19586E6E"/>
    <w:rsid w:val="198C4708"/>
    <w:rsid w:val="198D5A72"/>
    <w:rsid w:val="19960E59"/>
    <w:rsid w:val="199C06A0"/>
    <w:rsid w:val="199D3AA5"/>
    <w:rsid w:val="19B47531"/>
    <w:rsid w:val="19BD4903"/>
    <w:rsid w:val="19C178F4"/>
    <w:rsid w:val="19F24B75"/>
    <w:rsid w:val="19F60439"/>
    <w:rsid w:val="19FE198E"/>
    <w:rsid w:val="1A0275A8"/>
    <w:rsid w:val="1A057D8D"/>
    <w:rsid w:val="1A18361C"/>
    <w:rsid w:val="1A225292"/>
    <w:rsid w:val="1A277F77"/>
    <w:rsid w:val="1A2F6BB8"/>
    <w:rsid w:val="1A367A00"/>
    <w:rsid w:val="1A450E5E"/>
    <w:rsid w:val="1A5F515F"/>
    <w:rsid w:val="1A7F369B"/>
    <w:rsid w:val="1A8C3383"/>
    <w:rsid w:val="1A8D5DC2"/>
    <w:rsid w:val="1AB07CF9"/>
    <w:rsid w:val="1ABD6B47"/>
    <w:rsid w:val="1AC83294"/>
    <w:rsid w:val="1ADF3CF7"/>
    <w:rsid w:val="1B0C316F"/>
    <w:rsid w:val="1B1B64F7"/>
    <w:rsid w:val="1B1C713C"/>
    <w:rsid w:val="1B2416C9"/>
    <w:rsid w:val="1B482848"/>
    <w:rsid w:val="1B5F4096"/>
    <w:rsid w:val="1B6A24BD"/>
    <w:rsid w:val="1B811695"/>
    <w:rsid w:val="1B8B44A0"/>
    <w:rsid w:val="1B964B8F"/>
    <w:rsid w:val="1B9D06DE"/>
    <w:rsid w:val="1BB569B9"/>
    <w:rsid w:val="1BE93D3D"/>
    <w:rsid w:val="1BF65BDF"/>
    <w:rsid w:val="1C0A51E7"/>
    <w:rsid w:val="1C2047DE"/>
    <w:rsid w:val="1C297D63"/>
    <w:rsid w:val="1C316C17"/>
    <w:rsid w:val="1C3D380E"/>
    <w:rsid w:val="1C566883"/>
    <w:rsid w:val="1C5B16DA"/>
    <w:rsid w:val="1C6D0F5F"/>
    <w:rsid w:val="1C810B1A"/>
    <w:rsid w:val="1CB3587E"/>
    <w:rsid w:val="1CDC7CC4"/>
    <w:rsid w:val="1CE04DCE"/>
    <w:rsid w:val="1CF61D03"/>
    <w:rsid w:val="1CF71F04"/>
    <w:rsid w:val="1CF91D37"/>
    <w:rsid w:val="1D025157"/>
    <w:rsid w:val="1D102CD1"/>
    <w:rsid w:val="1D197C59"/>
    <w:rsid w:val="1D1B04AB"/>
    <w:rsid w:val="1D3B69E0"/>
    <w:rsid w:val="1D3F7112"/>
    <w:rsid w:val="1D4806BC"/>
    <w:rsid w:val="1D5F6564"/>
    <w:rsid w:val="1D6152DE"/>
    <w:rsid w:val="1D6F10BC"/>
    <w:rsid w:val="1D730816"/>
    <w:rsid w:val="1D76155D"/>
    <w:rsid w:val="1D936DC9"/>
    <w:rsid w:val="1D973739"/>
    <w:rsid w:val="1D9E1FE2"/>
    <w:rsid w:val="1DAA22DA"/>
    <w:rsid w:val="1DAA4ED3"/>
    <w:rsid w:val="1DB56AB6"/>
    <w:rsid w:val="1DC1221D"/>
    <w:rsid w:val="1DD1678F"/>
    <w:rsid w:val="1DED6B6E"/>
    <w:rsid w:val="1DF32C37"/>
    <w:rsid w:val="1DFE6FCD"/>
    <w:rsid w:val="1E036050"/>
    <w:rsid w:val="1E1A30A8"/>
    <w:rsid w:val="1E312EFF"/>
    <w:rsid w:val="1E340C41"/>
    <w:rsid w:val="1E572B2D"/>
    <w:rsid w:val="1E597F11"/>
    <w:rsid w:val="1E5B3A88"/>
    <w:rsid w:val="1E5D482F"/>
    <w:rsid w:val="1E66628E"/>
    <w:rsid w:val="1E6F3542"/>
    <w:rsid w:val="1E721A60"/>
    <w:rsid w:val="1E7643EA"/>
    <w:rsid w:val="1E803E86"/>
    <w:rsid w:val="1E871677"/>
    <w:rsid w:val="1E8E20FF"/>
    <w:rsid w:val="1E9B481C"/>
    <w:rsid w:val="1EAE4DF0"/>
    <w:rsid w:val="1EC65255"/>
    <w:rsid w:val="1ECA23EF"/>
    <w:rsid w:val="1EE948EE"/>
    <w:rsid w:val="1EEB5E1D"/>
    <w:rsid w:val="1EF6110A"/>
    <w:rsid w:val="1F0022DD"/>
    <w:rsid w:val="1F120F82"/>
    <w:rsid w:val="1F130856"/>
    <w:rsid w:val="1F1958F6"/>
    <w:rsid w:val="1F1F544D"/>
    <w:rsid w:val="1F26420F"/>
    <w:rsid w:val="1F2B33B9"/>
    <w:rsid w:val="1F33648D"/>
    <w:rsid w:val="1F3D447F"/>
    <w:rsid w:val="1F446945"/>
    <w:rsid w:val="1F4C72BD"/>
    <w:rsid w:val="1F561F9A"/>
    <w:rsid w:val="1F675BF7"/>
    <w:rsid w:val="1F686C78"/>
    <w:rsid w:val="1F842E11"/>
    <w:rsid w:val="1F8E0B46"/>
    <w:rsid w:val="1FB11A32"/>
    <w:rsid w:val="1FC16A79"/>
    <w:rsid w:val="1FCD24C6"/>
    <w:rsid w:val="1FD53D5E"/>
    <w:rsid w:val="200C49C1"/>
    <w:rsid w:val="201C4107"/>
    <w:rsid w:val="203211B0"/>
    <w:rsid w:val="20367192"/>
    <w:rsid w:val="2037039E"/>
    <w:rsid w:val="204258B3"/>
    <w:rsid w:val="20444B8E"/>
    <w:rsid w:val="20482BC8"/>
    <w:rsid w:val="204A7105"/>
    <w:rsid w:val="20753775"/>
    <w:rsid w:val="20766701"/>
    <w:rsid w:val="207927B1"/>
    <w:rsid w:val="207B0647"/>
    <w:rsid w:val="209B4B21"/>
    <w:rsid w:val="209C340F"/>
    <w:rsid w:val="20C1729E"/>
    <w:rsid w:val="20CF253F"/>
    <w:rsid w:val="20D1603F"/>
    <w:rsid w:val="20D94575"/>
    <w:rsid w:val="20DB1848"/>
    <w:rsid w:val="20DB5C70"/>
    <w:rsid w:val="21065F6A"/>
    <w:rsid w:val="211A5ECC"/>
    <w:rsid w:val="211D473B"/>
    <w:rsid w:val="215374BB"/>
    <w:rsid w:val="21586A89"/>
    <w:rsid w:val="216466AF"/>
    <w:rsid w:val="216E50C1"/>
    <w:rsid w:val="21715920"/>
    <w:rsid w:val="21770C70"/>
    <w:rsid w:val="217A4BBD"/>
    <w:rsid w:val="218968DE"/>
    <w:rsid w:val="218B3233"/>
    <w:rsid w:val="218D48F0"/>
    <w:rsid w:val="218F374C"/>
    <w:rsid w:val="21993530"/>
    <w:rsid w:val="21A12DCA"/>
    <w:rsid w:val="21A84A82"/>
    <w:rsid w:val="21AA0B06"/>
    <w:rsid w:val="21ED3919"/>
    <w:rsid w:val="21EF1F4F"/>
    <w:rsid w:val="21F61BF0"/>
    <w:rsid w:val="2213305A"/>
    <w:rsid w:val="221B7D83"/>
    <w:rsid w:val="222029F4"/>
    <w:rsid w:val="22235757"/>
    <w:rsid w:val="222931C6"/>
    <w:rsid w:val="2230171F"/>
    <w:rsid w:val="223065D1"/>
    <w:rsid w:val="22327ACA"/>
    <w:rsid w:val="22396826"/>
    <w:rsid w:val="224D0523"/>
    <w:rsid w:val="226F5062"/>
    <w:rsid w:val="22791318"/>
    <w:rsid w:val="227D2B6F"/>
    <w:rsid w:val="22805FDE"/>
    <w:rsid w:val="22853819"/>
    <w:rsid w:val="22896734"/>
    <w:rsid w:val="228F097B"/>
    <w:rsid w:val="228F68F6"/>
    <w:rsid w:val="2294552D"/>
    <w:rsid w:val="22A243CB"/>
    <w:rsid w:val="22A67D55"/>
    <w:rsid w:val="22B321C1"/>
    <w:rsid w:val="22B91142"/>
    <w:rsid w:val="22BA7CF9"/>
    <w:rsid w:val="22C97BAA"/>
    <w:rsid w:val="22DF561F"/>
    <w:rsid w:val="22E20C6B"/>
    <w:rsid w:val="22FF181D"/>
    <w:rsid w:val="230208EF"/>
    <w:rsid w:val="230F6E22"/>
    <w:rsid w:val="23160915"/>
    <w:rsid w:val="231A0504"/>
    <w:rsid w:val="231F7052"/>
    <w:rsid w:val="23220009"/>
    <w:rsid w:val="232A5768"/>
    <w:rsid w:val="232B1BCF"/>
    <w:rsid w:val="232F19D7"/>
    <w:rsid w:val="23554590"/>
    <w:rsid w:val="235810BE"/>
    <w:rsid w:val="235D4796"/>
    <w:rsid w:val="23652067"/>
    <w:rsid w:val="237573C6"/>
    <w:rsid w:val="23931DDC"/>
    <w:rsid w:val="23A221A9"/>
    <w:rsid w:val="23A9224E"/>
    <w:rsid w:val="23BD6FE3"/>
    <w:rsid w:val="23C626C9"/>
    <w:rsid w:val="23C94A94"/>
    <w:rsid w:val="23E04358"/>
    <w:rsid w:val="24015121"/>
    <w:rsid w:val="240E4847"/>
    <w:rsid w:val="244169BF"/>
    <w:rsid w:val="244F2331"/>
    <w:rsid w:val="24565B0F"/>
    <w:rsid w:val="24833BA4"/>
    <w:rsid w:val="24853F3C"/>
    <w:rsid w:val="249146F7"/>
    <w:rsid w:val="24A54761"/>
    <w:rsid w:val="24A563F4"/>
    <w:rsid w:val="24BE3AF6"/>
    <w:rsid w:val="24C30D9C"/>
    <w:rsid w:val="24E72F8F"/>
    <w:rsid w:val="24F427D9"/>
    <w:rsid w:val="250516B5"/>
    <w:rsid w:val="25096983"/>
    <w:rsid w:val="25126F82"/>
    <w:rsid w:val="25231F29"/>
    <w:rsid w:val="25341526"/>
    <w:rsid w:val="254E613A"/>
    <w:rsid w:val="25562B4E"/>
    <w:rsid w:val="255B7E73"/>
    <w:rsid w:val="256C11AF"/>
    <w:rsid w:val="25752935"/>
    <w:rsid w:val="25867FD4"/>
    <w:rsid w:val="2588153F"/>
    <w:rsid w:val="25A0151B"/>
    <w:rsid w:val="25A1676E"/>
    <w:rsid w:val="25AF73D3"/>
    <w:rsid w:val="25C579D5"/>
    <w:rsid w:val="25C96113"/>
    <w:rsid w:val="25D66288"/>
    <w:rsid w:val="25DA0899"/>
    <w:rsid w:val="25E22D06"/>
    <w:rsid w:val="25E54879"/>
    <w:rsid w:val="260F37D8"/>
    <w:rsid w:val="26306A6D"/>
    <w:rsid w:val="263C0693"/>
    <w:rsid w:val="263D779F"/>
    <w:rsid w:val="26431A21"/>
    <w:rsid w:val="2652435A"/>
    <w:rsid w:val="26693728"/>
    <w:rsid w:val="266A16A4"/>
    <w:rsid w:val="266C237C"/>
    <w:rsid w:val="26914E82"/>
    <w:rsid w:val="26973D9F"/>
    <w:rsid w:val="269F0C21"/>
    <w:rsid w:val="26A06E73"/>
    <w:rsid w:val="26A43829"/>
    <w:rsid w:val="26AF355A"/>
    <w:rsid w:val="26B00670"/>
    <w:rsid w:val="26B446CD"/>
    <w:rsid w:val="26C54B2C"/>
    <w:rsid w:val="26CC7C68"/>
    <w:rsid w:val="26DB6FCE"/>
    <w:rsid w:val="26F1147D"/>
    <w:rsid w:val="270A0791"/>
    <w:rsid w:val="271C6FA1"/>
    <w:rsid w:val="271F32C8"/>
    <w:rsid w:val="272F6BDD"/>
    <w:rsid w:val="27315D1D"/>
    <w:rsid w:val="2749298F"/>
    <w:rsid w:val="274A3283"/>
    <w:rsid w:val="276A3D72"/>
    <w:rsid w:val="276C18E1"/>
    <w:rsid w:val="27713228"/>
    <w:rsid w:val="277D3F43"/>
    <w:rsid w:val="27846795"/>
    <w:rsid w:val="278B508D"/>
    <w:rsid w:val="2792538E"/>
    <w:rsid w:val="27AC074C"/>
    <w:rsid w:val="27B32087"/>
    <w:rsid w:val="27B974F4"/>
    <w:rsid w:val="27C0642F"/>
    <w:rsid w:val="27FE6547"/>
    <w:rsid w:val="281D44F4"/>
    <w:rsid w:val="281D6E26"/>
    <w:rsid w:val="28394F1E"/>
    <w:rsid w:val="28680F94"/>
    <w:rsid w:val="286E6264"/>
    <w:rsid w:val="287320EC"/>
    <w:rsid w:val="2895064C"/>
    <w:rsid w:val="289E73E3"/>
    <w:rsid w:val="28BF330C"/>
    <w:rsid w:val="28DD7E6F"/>
    <w:rsid w:val="290C7562"/>
    <w:rsid w:val="29146633"/>
    <w:rsid w:val="2915658F"/>
    <w:rsid w:val="291D0558"/>
    <w:rsid w:val="29346BDE"/>
    <w:rsid w:val="294207D9"/>
    <w:rsid w:val="295F5AE3"/>
    <w:rsid w:val="29805ABC"/>
    <w:rsid w:val="29902FBA"/>
    <w:rsid w:val="299F6FCD"/>
    <w:rsid w:val="29B833B7"/>
    <w:rsid w:val="29BA45AB"/>
    <w:rsid w:val="29BD3BAD"/>
    <w:rsid w:val="29C4095E"/>
    <w:rsid w:val="29E65839"/>
    <w:rsid w:val="29EB1579"/>
    <w:rsid w:val="29F23E8A"/>
    <w:rsid w:val="29F953BB"/>
    <w:rsid w:val="2A0260D0"/>
    <w:rsid w:val="2A052D31"/>
    <w:rsid w:val="2A2563AF"/>
    <w:rsid w:val="2A3049B2"/>
    <w:rsid w:val="2A5C57A7"/>
    <w:rsid w:val="2A6C51CD"/>
    <w:rsid w:val="2A730AEB"/>
    <w:rsid w:val="2A9D78C9"/>
    <w:rsid w:val="2AB06D2C"/>
    <w:rsid w:val="2AB21149"/>
    <w:rsid w:val="2ABD048D"/>
    <w:rsid w:val="2AD03A9F"/>
    <w:rsid w:val="2AD77099"/>
    <w:rsid w:val="2AE33C36"/>
    <w:rsid w:val="2AFF488F"/>
    <w:rsid w:val="2B07172B"/>
    <w:rsid w:val="2B1A417C"/>
    <w:rsid w:val="2B1F3113"/>
    <w:rsid w:val="2B34402E"/>
    <w:rsid w:val="2B540D26"/>
    <w:rsid w:val="2B5474ED"/>
    <w:rsid w:val="2B594C74"/>
    <w:rsid w:val="2B7B1700"/>
    <w:rsid w:val="2B862FB3"/>
    <w:rsid w:val="2B8F74B6"/>
    <w:rsid w:val="2B99040C"/>
    <w:rsid w:val="2BC453B2"/>
    <w:rsid w:val="2BC730F4"/>
    <w:rsid w:val="2BC76C50"/>
    <w:rsid w:val="2BD219D1"/>
    <w:rsid w:val="2BD527FA"/>
    <w:rsid w:val="2BDB4856"/>
    <w:rsid w:val="2BF043F9"/>
    <w:rsid w:val="2BF52EFA"/>
    <w:rsid w:val="2C0864AD"/>
    <w:rsid w:val="2C0B2FE1"/>
    <w:rsid w:val="2C242F9C"/>
    <w:rsid w:val="2C255D3B"/>
    <w:rsid w:val="2C2F6A03"/>
    <w:rsid w:val="2C363DD6"/>
    <w:rsid w:val="2C464019"/>
    <w:rsid w:val="2C4F698D"/>
    <w:rsid w:val="2C521E38"/>
    <w:rsid w:val="2C576226"/>
    <w:rsid w:val="2C78043D"/>
    <w:rsid w:val="2C9C43F8"/>
    <w:rsid w:val="2CA065BF"/>
    <w:rsid w:val="2CA60572"/>
    <w:rsid w:val="2CC71D2E"/>
    <w:rsid w:val="2CCF0FE4"/>
    <w:rsid w:val="2CD07D87"/>
    <w:rsid w:val="2CEB2E12"/>
    <w:rsid w:val="2CF02346"/>
    <w:rsid w:val="2CF14FED"/>
    <w:rsid w:val="2CF239FE"/>
    <w:rsid w:val="2CF51684"/>
    <w:rsid w:val="2CF6694B"/>
    <w:rsid w:val="2CF83EBA"/>
    <w:rsid w:val="2D1B54A6"/>
    <w:rsid w:val="2D1F2CB1"/>
    <w:rsid w:val="2D2C1C2B"/>
    <w:rsid w:val="2D35325E"/>
    <w:rsid w:val="2D546C0A"/>
    <w:rsid w:val="2D6D2E90"/>
    <w:rsid w:val="2D7474C4"/>
    <w:rsid w:val="2D74754C"/>
    <w:rsid w:val="2D817915"/>
    <w:rsid w:val="2D856DC3"/>
    <w:rsid w:val="2D9C3685"/>
    <w:rsid w:val="2DA27333"/>
    <w:rsid w:val="2DF0599F"/>
    <w:rsid w:val="2DF301D1"/>
    <w:rsid w:val="2DF70F5C"/>
    <w:rsid w:val="2E112405"/>
    <w:rsid w:val="2E162111"/>
    <w:rsid w:val="2E1A3E5E"/>
    <w:rsid w:val="2E1A44FF"/>
    <w:rsid w:val="2E1F2B51"/>
    <w:rsid w:val="2E204D3E"/>
    <w:rsid w:val="2E241D76"/>
    <w:rsid w:val="2E3F1821"/>
    <w:rsid w:val="2E431EAE"/>
    <w:rsid w:val="2E5D5EBC"/>
    <w:rsid w:val="2E7043B3"/>
    <w:rsid w:val="2E7330BF"/>
    <w:rsid w:val="2E7B3D22"/>
    <w:rsid w:val="2E832F9F"/>
    <w:rsid w:val="2E8B2F20"/>
    <w:rsid w:val="2EA4771D"/>
    <w:rsid w:val="2EA60BB3"/>
    <w:rsid w:val="2EBE60E2"/>
    <w:rsid w:val="2ECE6996"/>
    <w:rsid w:val="2EDE785B"/>
    <w:rsid w:val="2EE813C1"/>
    <w:rsid w:val="2EF75A9F"/>
    <w:rsid w:val="2F212B1B"/>
    <w:rsid w:val="2F3960B7"/>
    <w:rsid w:val="2F3A47FE"/>
    <w:rsid w:val="2F3A598B"/>
    <w:rsid w:val="2F657BB4"/>
    <w:rsid w:val="2F6F3887"/>
    <w:rsid w:val="2F704636"/>
    <w:rsid w:val="2F7D2EF9"/>
    <w:rsid w:val="2F8B3036"/>
    <w:rsid w:val="2F8B4FC7"/>
    <w:rsid w:val="2F9629E8"/>
    <w:rsid w:val="2FB36AEE"/>
    <w:rsid w:val="2FC83EEB"/>
    <w:rsid w:val="2FE204FD"/>
    <w:rsid w:val="2FE73D65"/>
    <w:rsid w:val="2FEC52BE"/>
    <w:rsid w:val="3004501A"/>
    <w:rsid w:val="30170D66"/>
    <w:rsid w:val="30481B09"/>
    <w:rsid w:val="304C571B"/>
    <w:rsid w:val="304E247E"/>
    <w:rsid w:val="30522E6E"/>
    <w:rsid w:val="3062363E"/>
    <w:rsid w:val="30780277"/>
    <w:rsid w:val="30825A13"/>
    <w:rsid w:val="309317F7"/>
    <w:rsid w:val="30BB30B2"/>
    <w:rsid w:val="30BF33FB"/>
    <w:rsid w:val="30FA13C7"/>
    <w:rsid w:val="310E398D"/>
    <w:rsid w:val="3110685C"/>
    <w:rsid w:val="31124E12"/>
    <w:rsid w:val="313C49AD"/>
    <w:rsid w:val="313D45A5"/>
    <w:rsid w:val="31400522"/>
    <w:rsid w:val="3164169D"/>
    <w:rsid w:val="31766BF1"/>
    <w:rsid w:val="31851EC0"/>
    <w:rsid w:val="31A646A6"/>
    <w:rsid w:val="31AC0DC2"/>
    <w:rsid w:val="31C23E75"/>
    <w:rsid w:val="31C51E84"/>
    <w:rsid w:val="31D13313"/>
    <w:rsid w:val="31D17301"/>
    <w:rsid w:val="31D87321"/>
    <w:rsid w:val="31E247E4"/>
    <w:rsid w:val="31E26AFF"/>
    <w:rsid w:val="31F7113A"/>
    <w:rsid w:val="31F80FF9"/>
    <w:rsid w:val="31FA4196"/>
    <w:rsid w:val="321A6C4A"/>
    <w:rsid w:val="322931BC"/>
    <w:rsid w:val="323B2146"/>
    <w:rsid w:val="323D7C6C"/>
    <w:rsid w:val="32543208"/>
    <w:rsid w:val="32630039"/>
    <w:rsid w:val="327A7E28"/>
    <w:rsid w:val="327D62BB"/>
    <w:rsid w:val="328268CE"/>
    <w:rsid w:val="32A15506"/>
    <w:rsid w:val="32BF58EF"/>
    <w:rsid w:val="32C4213C"/>
    <w:rsid w:val="32C57C62"/>
    <w:rsid w:val="32F3227A"/>
    <w:rsid w:val="32F46515"/>
    <w:rsid w:val="32F50851"/>
    <w:rsid w:val="33015DD1"/>
    <w:rsid w:val="330C5891"/>
    <w:rsid w:val="331533D3"/>
    <w:rsid w:val="33492F6C"/>
    <w:rsid w:val="33712C64"/>
    <w:rsid w:val="337349D1"/>
    <w:rsid w:val="337F2933"/>
    <w:rsid w:val="33850F08"/>
    <w:rsid w:val="33E478B7"/>
    <w:rsid w:val="34050742"/>
    <w:rsid w:val="340F0069"/>
    <w:rsid w:val="341146CF"/>
    <w:rsid w:val="34190265"/>
    <w:rsid w:val="3434509F"/>
    <w:rsid w:val="34436CD2"/>
    <w:rsid w:val="345C032E"/>
    <w:rsid w:val="346911EC"/>
    <w:rsid w:val="34705DE8"/>
    <w:rsid w:val="347B1D3E"/>
    <w:rsid w:val="347B4A7C"/>
    <w:rsid w:val="34841305"/>
    <w:rsid w:val="348F62DA"/>
    <w:rsid w:val="349C63A1"/>
    <w:rsid w:val="34B670C2"/>
    <w:rsid w:val="34C208FD"/>
    <w:rsid w:val="34C667B8"/>
    <w:rsid w:val="34CF101E"/>
    <w:rsid w:val="34D429D9"/>
    <w:rsid w:val="34D9716A"/>
    <w:rsid w:val="34DF7637"/>
    <w:rsid w:val="34F71370"/>
    <w:rsid w:val="350E3B42"/>
    <w:rsid w:val="35101923"/>
    <w:rsid w:val="351531D7"/>
    <w:rsid w:val="351A699E"/>
    <w:rsid w:val="352C6166"/>
    <w:rsid w:val="353D7F83"/>
    <w:rsid w:val="355E45F4"/>
    <w:rsid w:val="3599165E"/>
    <w:rsid w:val="35991716"/>
    <w:rsid w:val="35994D2F"/>
    <w:rsid w:val="359C2EFC"/>
    <w:rsid w:val="35A02E98"/>
    <w:rsid w:val="35A11A45"/>
    <w:rsid w:val="35A81A3A"/>
    <w:rsid w:val="35B302A1"/>
    <w:rsid w:val="35B50461"/>
    <w:rsid w:val="35BC6AE9"/>
    <w:rsid w:val="35C44201"/>
    <w:rsid w:val="35D22C0E"/>
    <w:rsid w:val="35D5759E"/>
    <w:rsid w:val="35DE4F7A"/>
    <w:rsid w:val="35E121E1"/>
    <w:rsid w:val="35E84E53"/>
    <w:rsid w:val="35EB0A29"/>
    <w:rsid w:val="35EB3E83"/>
    <w:rsid w:val="35EB5AE4"/>
    <w:rsid w:val="35EE2FC7"/>
    <w:rsid w:val="35F15CA4"/>
    <w:rsid w:val="36002775"/>
    <w:rsid w:val="3606745F"/>
    <w:rsid w:val="360B62D3"/>
    <w:rsid w:val="36193BCB"/>
    <w:rsid w:val="362548A0"/>
    <w:rsid w:val="3630158B"/>
    <w:rsid w:val="363324E6"/>
    <w:rsid w:val="365D631E"/>
    <w:rsid w:val="365F29E9"/>
    <w:rsid w:val="3660217B"/>
    <w:rsid w:val="368A544A"/>
    <w:rsid w:val="36942F07"/>
    <w:rsid w:val="3697713D"/>
    <w:rsid w:val="369B0357"/>
    <w:rsid w:val="369C3850"/>
    <w:rsid w:val="36A61D97"/>
    <w:rsid w:val="36BD65E1"/>
    <w:rsid w:val="36C01F2B"/>
    <w:rsid w:val="36C461C2"/>
    <w:rsid w:val="36DF09AA"/>
    <w:rsid w:val="370445FA"/>
    <w:rsid w:val="37150272"/>
    <w:rsid w:val="3719794B"/>
    <w:rsid w:val="37197D00"/>
    <w:rsid w:val="372118AF"/>
    <w:rsid w:val="37270EEB"/>
    <w:rsid w:val="373D5314"/>
    <w:rsid w:val="37643096"/>
    <w:rsid w:val="376550D6"/>
    <w:rsid w:val="376D5499"/>
    <w:rsid w:val="3772660A"/>
    <w:rsid w:val="3780494F"/>
    <w:rsid w:val="378105FB"/>
    <w:rsid w:val="37920A5A"/>
    <w:rsid w:val="37955F75"/>
    <w:rsid w:val="379662D1"/>
    <w:rsid w:val="379B08DA"/>
    <w:rsid w:val="379F2925"/>
    <w:rsid w:val="37AB1AB6"/>
    <w:rsid w:val="37B71CC8"/>
    <w:rsid w:val="380139A1"/>
    <w:rsid w:val="38014A88"/>
    <w:rsid w:val="38090376"/>
    <w:rsid w:val="382C7134"/>
    <w:rsid w:val="382D1679"/>
    <w:rsid w:val="383E77DC"/>
    <w:rsid w:val="38451629"/>
    <w:rsid w:val="38556526"/>
    <w:rsid w:val="385B59D1"/>
    <w:rsid w:val="38667E4C"/>
    <w:rsid w:val="3878766F"/>
    <w:rsid w:val="387F307C"/>
    <w:rsid w:val="38877E93"/>
    <w:rsid w:val="388A2BF1"/>
    <w:rsid w:val="38946D14"/>
    <w:rsid w:val="38A70528"/>
    <w:rsid w:val="38AA37D2"/>
    <w:rsid w:val="38B27842"/>
    <w:rsid w:val="38EB2951"/>
    <w:rsid w:val="38ED063D"/>
    <w:rsid w:val="39033292"/>
    <w:rsid w:val="39096AFA"/>
    <w:rsid w:val="39166C6D"/>
    <w:rsid w:val="39217350"/>
    <w:rsid w:val="3949339B"/>
    <w:rsid w:val="3958436A"/>
    <w:rsid w:val="395C1320"/>
    <w:rsid w:val="397F523B"/>
    <w:rsid w:val="39845000"/>
    <w:rsid w:val="398475C2"/>
    <w:rsid w:val="398C14D9"/>
    <w:rsid w:val="398D7C40"/>
    <w:rsid w:val="39C4059B"/>
    <w:rsid w:val="39CA2E79"/>
    <w:rsid w:val="39CE7DFF"/>
    <w:rsid w:val="39E210F9"/>
    <w:rsid w:val="39F33306"/>
    <w:rsid w:val="39FE4185"/>
    <w:rsid w:val="3A0472C2"/>
    <w:rsid w:val="3A06303A"/>
    <w:rsid w:val="3A15327D"/>
    <w:rsid w:val="3A176FF5"/>
    <w:rsid w:val="3A4678DA"/>
    <w:rsid w:val="3A49117D"/>
    <w:rsid w:val="3A656089"/>
    <w:rsid w:val="3A6725ED"/>
    <w:rsid w:val="3A6C1B62"/>
    <w:rsid w:val="3A736CC9"/>
    <w:rsid w:val="3A925C8A"/>
    <w:rsid w:val="3A96379C"/>
    <w:rsid w:val="3A9E14C4"/>
    <w:rsid w:val="3AA0348E"/>
    <w:rsid w:val="3AB40CE8"/>
    <w:rsid w:val="3AB63A4C"/>
    <w:rsid w:val="3AB8529B"/>
    <w:rsid w:val="3AC1338E"/>
    <w:rsid w:val="3ACA63C5"/>
    <w:rsid w:val="3ADB6F18"/>
    <w:rsid w:val="3AF15A98"/>
    <w:rsid w:val="3B231BA9"/>
    <w:rsid w:val="3B365BA1"/>
    <w:rsid w:val="3B36794F"/>
    <w:rsid w:val="3B394FF5"/>
    <w:rsid w:val="3B4B164C"/>
    <w:rsid w:val="3B4D61F0"/>
    <w:rsid w:val="3B5624D2"/>
    <w:rsid w:val="3B620744"/>
    <w:rsid w:val="3B706C40"/>
    <w:rsid w:val="3B944967"/>
    <w:rsid w:val="3BAC5E63"/>
    <w:rsid w:val="3BBC42F8"/>
    <w:rsid w:val="3BCA7067"/>
    <w:rsid w:val="3BDB59DD"/>
    <w:rsid w:val="3C0E5FC0"/>
    <w:rsid w:val="3C157564"/>
    <w:rsid w:val="3C264C45"/>
    <w:rsid w:val="3C2A22E8"/>
    <w:rsid w:val="3C37199C"/>
    <w:rsid w:val="3C3D79E3"/>
    <w:rsid w:val="3C5B6508"/>
    <w:rsid w:val="3C7C71A8"/>
    <w:rsid w:val="3C954DBD"/>
    <w:rsid w:val="3C9C7C85"/>
    <w:rsid w:val="3CA8662A"/>
    <w:rsid w:val="3CAA4FEB"/>
    <w:rsid w:val="3CB274A9"/>
    <w:rsid w:val="3CC11D31"/>
    <w:rsid w:val="3CCD42E3"/>
    <w:rsid w:val="3CCF3BB7"/>
    <w:rsid w:val="3CD411CD"/>
    <w:rsid w:val="3CEA279F"/>
    <w:rsid w:val="3CFF0FB4"/>
    <w:rsid w:val="3D0B110C"/>
    <w:rsid w:val="3D1B2DE3"/>
    <w:rsid w:val="3D2A4B34"/>
    <w:rsid w:val="3D2D6B2F"/>
    <w:rsid w:val="3D8E7FC3"/>
    <w:rsid w:val="3D954E00"/>
    <w:rsid w:val="3D9573E6"/>
    <w:rsid w:val="3DA25DCF"/>
    <w:rsid w:val="3DAF5796"/>
    <w:rsid w:val="3DC806CC"/>
    <w:rsid w:val="3DCE20C0"/>
    <w:rsid w:val="3DD4228F"/>
    <w:rsid w:val="3DE55BB0"/>
    <w:rsid w:val="3DF61C4C"/>
    <w:rsid w:val="3E1E6AF6"/>
    <w:rsid w:val="3E3219D0"/>
    <w:rsid w:val="3E335341"/>
    <w:rsid w:val="3E344619"/>
    <w:rsid w:val="3E3A1504"/>
    <w:rsid w:val="3E3B049A"/>
    <w:rsid w:val="3E3C3834"/>
    <w:rsid w:val="3E407B0A"/>
    <w:rsid w:val="3E4800C5"/>
    <w:rsid w:val="3E4E3201"/>
    <w:rsid w:val="3E507D7E"/>
    <w:rsid w:val="3E662EBF"/>
    <w:rsid w:val="3E884CD8"/>
    <w:rsid w:val="3E8C2C22"/>
    <w:rsid w:val="3EA87CD5"/>
    <w:rsid w:val="3EAE617C"/>
    <w:rsid w:val="3EB42D59"/>
    <w:rsid w:val="3EBF159C"/>
    <w:rsid w:val="3EC30DA2"/>
    <w:rsid w:val="3ED71EA8"/>
    <w:rsid w:val="3EDA5125"/>
    <w:rsid w:val="3EE16C01"/>
    <w:rsid w:val="3EE85A4C"/>
    <w:rsid w:val="3EEE0756"/>
    <w:rsid w:val="3EFB5600"/>
    <w:rsid w:val="3F037C53"/>
    <w:rsid w:val="3F0F084A"/>
    <w:rsid w:val="3F0F5416"/>
    <w:rsid w:val="3F312907"/>
    <w:rsid w:val="3F356D5E"/>
    <w:rsid w:val="3F4D5A76"/>
    <w:rsid w:val="3F5B7984"/>
    <w:rsid w:val="3F780536"/>
    <w:rsid w:val="3F855F4F"/>
    <w:rsid w:val="3FA255B3"/>
    <w:rsid w:val="3FA4132B"/>
    <w:rsid w:val="3FA93436"/>
    <w:rsid w:val="3FB452E6"/>
    <w:rsid w:val="3FB916EB"/>
    <w:rsid w:val="3FC6339A"/>
    <w:rsid w:val="3FC812FC"/>
    <w:rsid w:val="3FC842EC"/>
    <w:rsid w:val="3FC96165"/>
    <w:rsid w:val="3FD0747C"/>
    <w:rsid w:val="3FDA2F9E"/>
    <w:rsid w:val="3FDB09AC"/>
    <w:rsid w:val="3FDC0DDC"/>
    <w:rsid w:val="3FEE5762"/>
    <w:rsid w:val="40175FA1"/>
    <w:rsid w:val="402D350D"/>
    <w:rsid w:val="402D5672"/>
    <w:rsid w:val="403802ED"/>
    <w:rsid w:val="407E3BF2"/>
    <w:rsid w:val="40905D53"/>
    <w:rsid w:val="40EF13CA"/>
    <w:rsid w:val="40F7192E"/>
    <w:rsid w:val="40FA143B"/>
    <w:rsid w:val="40FA252F"/>
    <w:rsid w:val="41075C9E"/>
    <w:rsid w:val="410B42F3"/>
    <w:rsid w:val="41250249"/>
    <w:rsid w:val="41312621"/>
    <w:rsid w:val="413C460F"/>
    <w:rsid w:val="414A567B"/>
    <w:rsid w:val="41532F65"/>
    <w:rsid w:val="415D4149"/>
    <w:rsid w:val="415E6EA9"/>
    <w:rsid w:val="41762D4D"/>
    <w:rsid w:val="41883BA4"/>
    <w:rsid w:val="41904347"/>
    <w:rsid w:val="41AE54DD"/>
    <w:rsid w:val="41B01549"/>
    <w:rsid w:val="41B14C97"/>
    <w:rsid w:val="41C16FE9"/>
    <w:rsid w:val="41C37D77"/>
    <w:rsid w:val="41C929D2"/>
    <w:rsid w:val="41DA54D8"/>
    <w:rsid w:val="41FA16D6"/>
    <w:rsid w:val="42022339"/>
    <w:rsid w:val="420462A2"/>
    <w:rsid w:val="42071C33"/>
    <w:rsid w:val="422232A6"/>
    <w:rsid w:val="423568A3"/>
    <w:rsid w:val="423D5A66"/>
    <w:rsid w:val="427C5A63"/>
    <w:rsid w:val="42847D12"/>
    <w:rsid w:val="42984DF0"/>
    <w:rsid w:val="429A62B9"/>
    <w:rsid w:val="429E3344"/>
    <w:rsid w:val="429F76A5"/>
    <w:rsid w:val="42A74106"/>
    <w:rsid w:val="42AE1DB0"/>
    <w:rsid w:val="42D068DB"/>
    <w:rsid w:val="42D55C5A"/>
    <w:rsid w:val="42D6343C"/>
    <w:rsid w:val="42D972C6"/>
    <w:rsid w:val="42E27A71"/>
    <w:rsid w:val="42E3216A"/>
    <w:rsid w:val="42F45BF3"/>
    <w:rsid w:val="43066362"/>
    <w:rsid w:val="430B16C1"/>
    <w:rsid w:val="4322009B"/>
    <w:rsid w:val="435C1F1C"/>
    <w:rsid w:val="435E79D1"/>
    <w:rsid w:val="436A4175"/>
    <w:rsid w:val="437F1AF7"/>
    <w:rsid w:val="438057A2"/>
    <w:rsid w:val="43A546F5"/>
    <w:rsid w:val="43B43B06"/>
    <w:rsid w:val="43C65BB4"/>
    <w:rsid w:val="43D75EDF"/>
    <w:rsid w:val="43DE62D2"/>
    <w:rsid w:val="43E4588D"/>
    <w:rsid w:val="43E66354"/>
    <w:rsid w:val="43E830CC"/>
    <w:rsid w:val="43F26FA3"/>
    <w:rsid w:val="43F31DE0"/>
    <w:rsid w:val="43F47856"/>
    <w:rsid w:val="440045F7"/>
    <w:rsid w:val="44030D67"/>
    <w:rsid w:val="440359D1"/>
    <w:rsid w:val="44056D4A"/>
    <w:rsid w:val="441D5B50"/>
    <w:rsid w:val="443C7399"/>
    <w:rsid w:val="443D4E5E"/>
    <w:rsid w:val="445D2CA3"/>
    <w:rsid w:val="445E7602"/>
    <w:rsid w:val="44764610"/>
    <w:rsid w:val="44890AEF"/>
    <w:rsid w:val="44923CEE"/>
    <w:rsid w:val="44953938"/>
    <w:rsid w:val="449B2379"/>
    <w:rsid w:val="449C5D5B"/>
    <w:rsid w:val="44AA3914"/>
    <w:rsid w:val="44C361AF"/>
    <w:rsid w:val="44D96E82"/>
    <w:rsid w:val="44F61691"/>
    <w:rsid w:val="45004271"/>
    <w:rsid w:val="45091E4C"/>
    <w:rsid w:val="45097749"/>
    <w:rsid w:val="450E2C6D"/>
    <w:rsid w:val="451000E8"/>
    <w:rsid w:val="452F5B3A"/>
    <w:rsid w:val="45361B7A"/>
    <w:rsid w:val="45551CD2"/>
    <w:rsid w:val="455F381D"/>
    <w:rsid w:val="45750675"/>
    <w:rsid w:val="458336CE"/>
    <w:rsid w:val="459019B6"/>
    <w:rsid w:val="45934B8E"/>
    <w:rsid w:val="4594599D"/>
    <w:rsid w:val="459C1818"/>
    <w:rsid w:val="45B94936"/>
    <w:rsid w:val="45C47FEA"/>
    <w:rsid w:val="45C77F5D"/>
    <w:rsid w:val="45CC3389"/>
    <w:rsid w:val="45D04C30"/>
    <w:rsid w:val="45E62C0C"/>
    <w:rsid w:val="45E87ACC"/>
    <w:rsid w:val="45F30715"/>
    <w:rsid w:val="46026DAB"/>
    <w:rsid w:val="46152C58"/>
    <w:rsid w:val="46184820"/>
    <w:rsid w:val="46280B2B"/>
    <w:rsid w:val="463D4287"/>
    <w:rsid w:val="46494559"/>
    <w:rsid w:val="46496788"/>
    <w:rsid w:val="465A0995"/>
    <w:rsid w:val="465E797E"/>
    <w:rsid w:val="46647A66"/>
    <w:rsid w:val="4666041D"/>
    <w:rsid w:val="466B0189"/>
    <w:rsid w:val="46761606"/>
    <w:rsid w:val="46765A1C"/>
    <w:rsid w:val="467B08ED"/>
    <w:rsid w:val="4691012F"/>
    <w:rsid w:val="469A6680"/>
    <w:rsid w:val="469F783D"/>
    <w:rsid w:val="46A936CA"/>
    <w:rsid w:val="46B7537D"/>
    <w:rsid w:val="46BD2F34"/>
    <w:rsid w:val="46C171F7"/>
    <w:rsid w:val="46C82706"/>
    <w:rsid w:val="46C83A73"/>
    <w:rsid w:val="46D72568"/>
    <w:rsid w:val="46F61AFC"/>
    <w:rsid w:val="470459AE"/>
    <w:rsid w:val="471379FA"/>
    <w:rsid w:val="47150D60"/>
    <w:rsid w:val="472D7E58"/>
    <w:rsid w:val="47332F94"/>
    <w:rsid w:val="47353F4A"/>
    <w:rsid w:val="47526E1C"/>
    <w:rsid w:val="4760502F"/>
    <w:rsid w:val="47706F2B"/>
    <w:rsid w:val="47797541"/>
    <w:rsid w:val="477B3A86"/>
    <w:rsid w:val="47830694"/>
    <w:rsid w:val="47905373"/>
    <w:rsid w:val="47951059"/>
    <w:rsid w:val="479E3926"/>
    <w:rsid w:val="47A45B75"/>
    <w:rsid w:val="47A6721B"/>
    <w:rsid w:val="47A83982"/>
    <w:rsid w:val="47AA14A8"/>
    <w:rsid w:val="47AC5B29"/>
    <w:rsid w:val="47B32567"/>
    <w:rsid w:val="47B75C51"/>
    <w:rsid w:val="47C86AD6"/>
    <w:rsid w:val="47CD2123"/>
    <w:rsid w:val="47D3206E"/>
    <w:rsid w:val="47DB3B56"/>
    <w:rsid w:val="47DF64E5"/>
    <w:rsid w:val="47F00E85"/>
    <w:rsid w:val="47F54465"/>
    <w:rsid w:val="47F65A41"/>
    <w:rsid w:val="47FB61A8"/>
    <w:rsid w:val="48083A06"/>
    <w:rsid w:val="48125E4D"/>
    <w:rsid w:val="4812704D"/>
    <w:rsid w:val="481B1ECE"/>
    <w:rsid w:val="48286871"/>
    <w:rsid w:val="48334CC9"/>
    <w:rsid w:val="48547C51"/>
    <w:rsid w:val="485D651B"/>
    <w:rsid w:val="486D794F"/>
    <w:rsid w:val="488A36D6"/>
    <w:rsid w:val="48A0549A"/>
    <w:rsid w:val="48B55C68"/>
    <w:rsid w:val="48C42A3E"/>
    <w:rsid w:val="48CB0D9B"/>
    <w:rsid w:val="48DC0ABA"/>
    <w:rsid w:val="48EE01B9"/>
    <w:rsid w:val="48EF3C78"/>
    <w:rsid w:val="492357D0"/>
    <w:rsid w:val="492D3531"/>
    <w:rsid w:val="492E05EF"/>
    <w:rsid w:val="4937560A"/>
    <w:rsid w:val="495E6476"/>
    <w:rsid w:val="49760E4E"/>
    <w:rsid w:val="49784437"/>
    <w:rsid w:val="498B7AA4"/>
    <w:rsid w:val="498E11E5"/>
    <w:rsid w:val="499757F2"/>
    <w:rsid w:val="49A91831"/>
    <w:rsid w:val="49BE56DF"/>
    <w:rsid w:val="49D7054F"/>
    <w:rsid w:val="49DF2012"/>
    <w:rsid w:val="4A28367C"/>
    <w:rsid w:val="4A3516A7"/>
    <w:rsid w:val="4A477487"/>
    <w:rsid w:val="4A6F2D70"/>
    <w:rsid w:val="4A8C5857"/>
    <w:rsid w:val="4A955AD3"/>
    <w:rsid w:val="4AA033A5"/>
    <w:rsid w:val="4AAC19DB"/>
    <w:rsid w:val="4ACB57CC"/>
    <w:rsid w:val="4AD11442"/>
    <w:rsid w:val="4AD71050"/>
    <w:rsid w:val="4ADF539B"/>
    <w:rsid w:val="4AE0671C"/>
    <w:rsid w:val="4AFF39A7"/>
    <w:rsid w:val="4B0F4C11"/>
    <w:rsid w:val="4B1F5E4F"/>
    <w:rsid w:val="4B26353C"/>
    <w:rsid w:val="4B2F55D4"/>
    <w:rsid w:val="4B3142D7"/>
    <w:rsid w:val="4B3204B9"/>
    <w:rsid w:val="4B443F5D"/>
    <w:rsid w:val="4B56048C"/>
    <w:rsid w:val="4B647F84"/>
    <w:rsid w:val="4B716827"/>
    <w:rsid w:val="4B7F0857"/>
    <w:rsid w:val="4B8B6E69"/>
    <w:rsid w:val="4BB04E28"/>
    <w:rsid w:val="4BC863A1"/>
    <w:rsid w:val="4BCB40E3"/>
    <w:rsid w:val="4BD332E5"/>
    <w:rsid w:val="4BF016FF"/>
    <w:rsid w:val="4C054033"/>
    <w:rsid w:val="4C172E84"/>
    <w:rsid w:val="4C1C45B7"/>
    <w:rsid w:val="4C3E6663"/>
    <w:rsid w:val="4C537033"/>
    <w:rsid w:val="4C5F79B9"/>
    <w:rsid w:val="4C883D82"/>
    <w:rsid w:val="4C935755"/>
    <w:rsid w:val="4CC32799"/>
    <w:rsid w:val="4CCD673F"/>
    <w:rsid w:val="4CD25197"/>
    <w:rsid w:val="4CD323D3"/>
    <w:rsid w:val="4CD52FE6"/>
    <w:rsid w:val="4CD8325D"/>
    <w:rsid w:val="4CDF7E46"/>
    <w:rsid w:val="4CE0574F"/>
    <w:rsid w:val="4CF501AC"/>
    <w:rsid w:val="4CF5766A"/>
    <w:rsid w:val="4D326F78"/>
    <w:rsid w:val="4D336FCF"/>
    <w:rsid w:val="4D3E60BB"/>
    <w:rsid w:val="4D3E78CD"/>
    <w:rsid w:val="4D450A27"/>
    <w:rsid w:val="4D54670E"/>
    <w:rsid w:val="4D641DBF"/>
    <w:rsid w:val="4D735C4D"/>
    <w:rsid w:val="4D7A2324"/>
    <w:rsid w:val="4D885A44"/>
    <w:rsid w:val="4D9549A9"/>
    <w:rsid w:val="4DB50BA7"/>
    <w:rsid w:val="4DBD11D2"/>
    <w:rsid w:val="4E06107E"/>
    <w:rsid w:val="4E0F7048"/>
    <w:rsid w:val="4E1C10AB"/>
    <w:rsid w:val="4E371003"/>
    <w:rsid w:val="4E431759"/>
    <w:rsid w:val="4E4D7E58"/>
    <w:rsid w:val="4E600A7E"/>
    <w:rsid w:val="4E6A7935"/>
    <w:rsid w:val="4E922C96"/>
    <w:rsid w:val="4E942753"/>
    <w:rsid w:val="4EAD18CA"/>
    <w:rsid w:val="4EB3158A"/>
    <w:rsid w:val="4EBE7F2F"/>
    <w:rsid w:val="4EC83D28"/>
    <w:rsid w:val="4ECB51EA"/>
    <w:rsid w:val="4ED00D27"/>
    <w:rsid w:val="4EDD2163"/>
    <w:rsid w:val="4EDD5641"/>
    <w:rsid w:val="4EE51018"/>
    <w:rsid w:val="4F00569F"/>
    <w:rsid w:val="4F2B7981"/>
    <w:rsid w:val="4F3512A3"/>
    <w:rsid w:val="4F422745"/>
    <w:rsid w:val="4F494113"/>
    <w:rsid w:val="4F4D38F0"/>
    <w:rsid w:val="4F5D6A4F"/>
    <w:rsid w:val="4F6A4471"/>
    <w:rsid w:val="4F805993"/>
    <w:rsid w:val="4F9D0B1C"/>
    <w:rsid w:val="4FA40ED3"/>
    <w:rsid w:val="4FBB7FCB"/>
    <w:rsid w:val="4FD43019"/>
    <w:rsid w:val="4FD87A55"/>
    <w:rsid w:val="4FF21C3E"/>
    <w:rsid w:val="4FF93F39"/>
    <w:rsid w:val="50084F19"/>
    <w:rsid w:val="500E5044"/>
    <w:rsid w:val="501A4C4A"/>
    <w:rsid w:val="501B16B3"/>
    <w:rsid w:val="502838B2"/>
    <w:rsid w:val="502D5544"/>
    <w:rsid w:val="50387003"/>
    <w:rsid w:val="503D71FC"/>
    <w:rsid w:val="504927CC"/>
    <w:rsid w:val="506B19F1"/>
    <w:rsid w:val="50715259"/>
    <w:rsid w:val="50744D49"/>
    <w:rsid w:val="507B7A10"/>
    <w:rsid w:val="50884351"/>
    <w:rsid w:val="50942CF5"/>
    <w:rsid w:val="50A45E47"/>
    <w:rsid w:val="50DC4393"/>
    <w:rsid w:val="50F0696D"/>
    <w:rsid w:val="50FA3034"/>
    <w:rsid w:val="50FA430C"/>
    <w:rsid w:val="510655FD"/>
    <w:rsid w:val="51070065"/>
    <w:rsid w:val="5108459C"/>
    <w:rsid w:val="51171B91"/>
    <w:rsid w:val="511856D5"/>
    <w:rsid w:val="5127693B"/>
    <w:rsid w:val="51281690"/>
    <w:rsid w:val="512F6EC2"/>
    <w:rsid w:val="51317E93"/>
    <w:rsid w:val="51651C41"/>
    <w:rsid w:val="517D5E7F"/>
    <w:rsid w:val="5187414F"/>
    <w:rsid w:val="518C7E71"/>
    <w:rsid w:val="519D7854"/>
    <w:rsid w:val="51A2290E"/>
    <w:rsid w:val="51A9209C"/>
    <w:rsid w:val="51C047F1"/>
    <w:rsid w:val="51C53B15"/>
    <w:rsid w:val="51D16161"/>
    <w:rsid w:val="51DE5856"/>
    <w:rsid w:val="51E63A25"/>
    <w:rsid w:val="51E8191E"/>
    <w:rsid w:val="51F4269B"/>
    <w:rsid w:val="51F43732"/>
    <w:rsid w:val="52012C5F"/>
    <w:rsid w:val="521F6197"/>
    <w:rsid w:val="523251E8"/>
    <w:rsid w:val="523A4235"/>
    <w:rsid w:val="524C5EAE"/>
    <w:rsid w:val="52661B1B"/>
    <w:rsid w:val="52702C6B"/>
    <w:rsid w:val="528D5C4E"/>
    <w:rsid w:val="529C4A96"/>
    <w:rsid w:val="529C5152"/>
    <w:rsid w:val="52AB6335"/>
    <w:rsid w:val="52CC5972"/>
    <w:rsid w:val="52CF270B"/>
    <w:rsid w:val="52D1374D"/>
    <w:rsid w:val="52D65847"/>
    <w:rsid w:val="52E7651A"/>
    <w:rsid w:val="53087FF5"/>
    <w:rsid w:val="532C79FA"/>
    <w:rsid w:val="532D19B8"/>
    <w:rsid w:val="53363228"/>
    <w:rsid w:val="53394028"/>
    <w:rsid w:val="533B0998"/>
    <w:rsid w:val="534C254D"/>
    <w:rsid w:val="53517149"/>
    <w:rsid w:val="5366395A"/>
    <w:rsid w:val="536B211D"/>
    <w:rsid w:val="536D1D18"/>
    <w:rsid w:val="53814739"/>
    <w:rsid w:val="538168C3"/>
    <w:rsid w:val="538434F5"/>
    <w:rsid w:val="538854AB"/>
    <w:rsid w:val="53890B0C"/>
    <w:rsid w:val="539D45B7"/>
    <w:rsid w:val="539F486C"/>
    <w:rsid w:val="53BE72AB"/>
    <w:rsid w:val="53C4294A"/>
    <w:rsid w:val="53CD1ECB"/>
    <w:rsid w:val="53DC2690"/>
    <w:rsid w:val="53EC2E48"/>
    <w:rsid w:val="53F93E22"/>
    <w:rsid w:val="54177EC5"/>
    <w:rsid w:val="54231989"/>
    <w:rsid w:val="54271D93"/>
    <w:rsid w:val="543C587A"/>
    <w:rsid w:val="544B5DC1"/>
    <w:rsid w:val="544E765F"/>
    <w:rsid w:val="54535BA7"/>
    <w:rsid w:val="546319AF"/>
    <w:rsid w:val="5469774B"/>
    <w:rsid w:val="547A20D2"/>
    <w:rsid w:val="54842ABD"/>
    <w:rsid w:val="54883066"/>
    <w:rsid w:val="548A243E"/>
    <w:rsid w:val="548C0587"/>
    <w:rsid w:val="549239F0"/>
    <w:rsid w:val="5495528E"/>
    <w:rsid w:val="54BF40B9"/>
    <w:rsid w:val="54DF6189"/>
    <w:rsid w:val="54F50E63"/>
    <w:rsid w:val="552705DC"/>
    <w:rsid w:val="552D5B8C"/>
    <w:rsid w:val="55313209"/>
    <w:rsid w:val="553E75B5"/>
    <w:rsid w:val="55505B09"/>
    <w:rsid w:val="55655EF4"/>
    <w:rsid w:val="5572740F"/>
    <w:rsid w:val="557B6F90"/>
    <w:rsid w:val="557D644E"/>
    <w:rsid w:val="55894DF3"/>
    <w:rsid w:val="5594168D"/>
    <w:rsid w:val="559C27FA"/>
    <w:rsid w:val="559C71E9"/>
    <w:rsid w:val="55A6314B"/>
    <w:rsid w:val="55AA001D"/>
    <w:rsid w:val="55AB6164"/>
    <w:rsid w:val="55E2414B"/>
    <w:rsid w:val="55FE0534"/>
    <w:rsid w:val="560B7D9C"/>
    <w:rsid w:val="56220DA3"/>
    <w:rsid w:val="565D3B8A"/>
    <w:rsid w:val="56735015"/>
    <w:rsid w:val="56B52A05"/>
    <w:rsid w:val="56C024DD"/>
    <w:rsid w:val="56C74ED9"/>
    <w:rsid w:val="56D46542"/>
    <w:rsid w:val="56E41F92"/>
    <w:rsid w:val="56EB1A4B"/>
    <w:rsid w:val="56EB4737"/>
    <w:rsid w:val="56F94227"/>
    <w:rsid w:val="56F950A3"/>
    <w:rsid w:val="570453AC"/>
    <w:rsid w:val="57166DFA"/>
    <w:rsid w:val="57183033"/>
    <w:rsid w:val="57315742"/>
    <w:rsid w:val="573E7E5F"/>
    <w:rsid w:val="5755718C"/>
    <w:rsid w:val="576A47AB"/>
    <w:rsid w:val="57797BC0"/>
    <w:rsid w:val="579E4882"/>
    <w:rsid w:val="57A37CC2"/>
    <w:rsid w:val="57A46D34"/>
    <w:rsid w:val="57AC12C5"/>
    <w:rsid w:val="57D808E7"/>
    <w:rsid w:val="57FF75EE"/>
    <w:rsid w:val="58063EE8"/>
    <w:rsid w:val="581035A9"/>
    <w:rsid w:val="58217ACB"/>
    <w:rsid w:val="585D4315"/>
    <w:rsid w:val="586C4558"/>
    <w:rsid w:val="586D36E5"/>
    <w:rsid w:val="58783D05"/>
    <w:rsid w:val="58935F89"/>
    <w:rsid w:val="58C33BEB"/>
    <w:rsid w:val="58C962C6"/>
    <w:rsid w:val="58DA0917"/>
    <w:rsid w:val="58DE3F06"/>
    <w:rsid w:val="58F80F4E"/>
    <w:rsid w:val="59165E23"/>
    <w:rsid w:val="593212FE"/>
    <w:rsid w:val="59331FF7"/>
    <w:rsid w:val="59371318"/>
    <w:rsid w:val="5960104D"/>
    <w:rsid w:val="596C2A61"/>
    <w:rsid w:val="59701E26"/>
    <w:rsid w:val="599C1B5F"/>
    <w:rsid w:val="599C2C1B"/>
    <w:rsid w:val="599C6C07"/>
    <w:rsid w:val="599F637C"/>
    <w:rsid w:val="59A83DDF"/>
    <w:rsid w:val="59B2308C"/>
    <w:rsid w:val="59B71CBF"/>
    <w:rsid w:val="59BD7612"/>
    <w:rsid w:val="59C06909"/>
    <w:rsid w:val="59C44CCC"/>
    <w:rsid w:val="59E049DA"/>
    <w:rsid w:val="59E3136D"/>
    <w:rsid w:val="59EA39B5"/>
    <w:rsid w:val="5A13226F"/>
    <w:rsid w:val="5A1F7205"/>
    <w:rsid w:val="5A3A5B53"/>
    <w:rsid w:val="5A6F7D2D"/>
    <w:rsid w:val="5A721363"/>
    <w:rsid w:val="5A743C84"/>
    <w:rsid w:val="5A7A472C"/>
    <w:rsid w:val="5A7B32DA"/>
    <w:rsid w:val="5A8738CB"/>
    <w:rsid w:val="5AA06D00"/>
    <w:rsid w:val="5AC05880"/>
    <w:rsid w:val="5AF51304"/>
    <w:rsid w:val="5AFD2321"/>
    <w:rsid w:val="5B0D560D"/>
    <w:rsid w:val="5B182775"/>
    <w:rsid w:val="5B231846"/>
    <w:rsid w:val="5B480736"/>
    <w:rsid w:val="5B5C1A2D"/>
    <w:rsid w:val="5B7A6F8C"/>
    <w:rsid w:val="5B8F49CD"/>
    <w:rsid w:val="5B925432"/>
    <w:rsid w:val="5BAB0882"/>
    <w:rsid w:val="5BC22E0D"/>
    <w:rsid w:val="5BCC33F3"/>
    <w:rsid w:val="5BCD1DF8"/>
    <w:rsid w:val="5BD24D4E"/>
    <w:rsid w:val="5BD6469E"/>
    <w:rsid w:val="5BEA1C12"/>
    <w:rsid w:val="5BF925A6"/>
    <w:rsid w:val="5C0A3007"/>
    <w:rsid w:val="5C2313D1"/>
    <w:rsid w:val="5C306FF1"/>
    <w:rsid w:val="5C3B75B9"/>
    <w:rsid w:val="5C416FF0"/>
    <w:rsid w:val="5C5123E2"/>
    <w:rsid w:val="5C5D614F"/>
    <w:rsid w:val="5C8342CD"/>
    <w:rsid w:val="5C942049"/>
    <w:rsid w:val="5CAE3391"/>
    <w:rsid w:val="5CEE1B8A"/>
    <w:rsid w:val="5D086F45"/>
    <w:rsid w:val="5D257F77"/>
    <w:rsid w:val="5D343E1C"/>
    <w:rsid w:val="5D595C99"/>
    <w:rsid w:val="5D700BB2"/>
    <w:rsid w:val="5D724133"/>
    <w:rsid w:val="5D747905"/>
    <w:rsid w:val="5D7719D5"/>
    <w:rsid w:val="5D8840F0"/>
    <w:rsid w:val="5DA632F4"/>
    <w:rsid w:val="5DA71BDD"/>
    <w:rsid w:val="5DA831D9"/>
    <w:rsid w:val="5DBF5E9C"/>
    <w:rsid w:val="5DE41831"/>
    <w:rsid w:val="5DF04865"/>
    <w:rsid w:val="5DFD1912"/>
    <w:rsid w:val="5E22432D"/>
    <w:rsid w:val="5E2D4789"/>
    <w:rsid w:val="5E36363E"/>
    <w:rsid w:val="5E385608"/>
    <w:rsid w:val="5E4A70E9"/>
    <w:rsid w:val="5E540CE9"/>
    <w:rsid w:val="5E565C94"/>
    <w:rsid w:val="5E8720EC"/>
    <w:rsid w:val="5E8E1C0D"/>
    <w:rsid w:val="5E8E347A"/>
    <w:rsid w:val="5E9A1E1F"/>
    <w:rsid w:val="5EB36A3D"/>
    <w:rsid w:val="5EB8503C"/>
    <w:rsid w:val="5ED62E95"/>
    <w:rsid w:val="5EF502AC"/>
    <w:rsid w:val="5EFD36AE"/>
    <w:rsid w:val="5F021EAB"/>
    <w:rsid w:val="5F134BAA"/>
    <w:rsid w:val="5F144235"/>
    <w:rsid w:val="5F1C5ECE"/>
    <w:rsid w:val="5F2622DE"/>
    <w:rsid w:val="5F3106FA"/>
    <w:rsid w:val="5F574316"/>
    <w:rsid w:val="5F670706"/>
    <w:rsid w:val="5F7D704B"/>
    <w:rsid w:val="5F8D36BF"/>
    <w:rsid w:val="5F904FD0"/>
    <w:rsid w:val="5F914B83"/>
    <w:rsid w:val="5F9468A5"/>
    <w:rsid w:val="5FA628F6"/>
    <w:rsid w:val="5FAF1D11"/>
    <w:rsid w:val="5FB915C1"/>
    <w:rsid w:val="5FC77149"/>
    <w:rsid w:val="5FDC1C1E"/>
    <w:rsid w:val="5FF612D7"/>
    <w:rsid w:val="60057095"/>
    <w:rsid w:val="60074E6A"/>
    <w:rsid w:val="60194FC5"/>
    <w:rsid w:val="603F6634"/>
    <w:rsid w:val="60630BF0"/>
    <w:rsid w:val="606F1089"/>
    <w:rsid w:val="606F2E37"/>
    <w:rsid w:val="60835262"/>
    <w:rsid w:val="60850D79"/>
    <w:rsid w:val="60877B83"/>
    <w:rsid w:val="60892113"/>
    <w:rsid w:val="60936B26"/>
    <w:rsid w:val="6096281D"/>
    <w:rsid w:val="60BE791B"/>
    <w:rsid w:val="60C51D11"/>
    <w:rsid w:val="60C966A4"/>
    <w:rsid w:val="60EF425E"/>
    <w:rsid w:val="60F021CA"/>
    <w:rsid w:val="60F55502"/>
    <w:rsid w:val="60FD179A"/>
    <w:rsid w:val="61025186"/>
    <w:rsid w:val="61057F3A"/>
    <w:rsid w:val="610C6A7E"/>
    <w:rsid w:val="610E3843"/>
    <w:rsid w:val="611F1F5D"/>
    <w:rsid w:val="614505C7"/>
    <w:rsid w:val="6148324C"/>
    <w:rsid w:val="61534507"/>
    <w:rsid w:val="615D00D5"/>
    <w:rsid w:val="616E0DA1"/>
    <w:rsid w:val="617A7CE6"/>
    <w:rsid w:val="617E5764"/>
    <w:rsid w:val="618B5004"/>
    <w:rsid w:val="61A04973"/>
    <w:rsid w:val="61A06CDF"/>
    <w:rsid w:val="61C947C9"/>
    <w:rsid w:val="61D70C94"/>
    <w:rsid w:val="61E57197"/>
    <w:rsid w:val="61FD0357"/>
    <w:rsid w:val="620200DC"/>
    <w:rsid w:val="62175A17"/>
    <w:rsid w:val="62185DFF"/>
    <w:rsid w:val="622F7F12"/>
    <w:rsid w:val="62593D9F"/>
    <w:rsid w:val="626341C3"/>
    <w:rsid w:val="626C5004"/>
    <w:rsid w:val="62762F36"/>
    <w:rsid w:val="62952CD2"/>
    <w:rsid w:val="62B50F76"/>
    <w:rsid w:val="62BA1B68"/>
    <w:rsid w:val="62BE2372"/>
    <w:rsid w:val="62C21944"/>
    <w:rsid w:val="62C4226B"/>
    <w:rsid w:val="62D33B51"/>
    <w:rsid w:val="62EB5AFC"/>
    <w:rsid w:val="63082C8A"/>
    <w:rsid w:val="630C1CCD"/>
    <w:rsid w:val="6311152E"/>
    <w:rsid w:val="631726B9"/>
    <w:rsid w:val="63195917"/>
    <w:rsid w:val="631A2A8B"/>
    <w:rsid w:val="631E523C"/>
    <w:rsid w:val="632E6FDA"/>
    <w:rsid w:val="632F6F6E"/>
    <w:rsid w:val="632F78D1"/>
    <w:rsid w:val="63317FE4"/>
    <w:rsid w:val="63451DBF"/>
    <w:rsid w:val="635A1B7D"/>
    <w:rsid w:val="63651249"/>
    <w:rsid w:val="637531E7"/>
    <w:rsid w:val="63890060"/>
    <w:rsid w:val="63927568"/>
    <w:rsid w:val="639B6DD8"/>
    <w:rsid w:val="63B079D6"/>
    <w:rsid w:val="63B41EC4"/>
    <w:rsid w:val="63C74A65"/>
    <w:rsid w:val="63F35B2D"/>
    <w:rsid w:val="64191539"/>
    <w:rsid w:val="64632CB3"/>
    <w:rsid w:val="64727D2E"/>
    <w:rsid w:val="64816AE5"/>
    <w:rsid w:val="64AE7AF2"/>
    <w:rsid w:val="64C5571C"/>
    <w:rsid w:val="64D045E1"/>
    <w:rsid w:val="64D771FD"/>
    <w:rsid w:val="64DE20F3"/>
    <w:rsid w:val="64E060B2"/>
    <w:rsid w:val="65037FF2"/>
    <w:rsid w:val="652C5B50"/>
    <w:rsid w:val="654A1C49"/>
    <w:rsid w:val="655C6618"/>
    <w:rsid w:val="655D7993"/>
    <w:rsid w:val="6563181F"/>
    <w:rsid w:val="656960A7"/>
    <w:rsid w:val="65AB2B63"/>
    <w:rsid w:val="65C6257F"/>
    <w:rsid w:val="65D26342"/>
    <w:rsid w:val="65F71905"/>
    <w:rsid w:val="65FD5525"/>
    <w:rsid w:val="660118BB"/>
    <w:rsid w:val="66214BD4"/>
    <w:rsid w:val="6625501B"/>
    <w:rsid w:val="663D7000"/>
    <w:rsid w:val="66443A2E"/>
    <w:rsid w:val="6646463A"/>
    <w:rsid w:val="664A7C13"/>
    <w:rsid w:val="665E7BD6"/>
    <w:rsid w:val="6663181D"/>
    <w:rsid w:val="667411A7"/>
    <w:rsid w:val="66966ACF"/>
    <w:rsid w:val="66A82508"/>
    <w:rsid w:val="66AC6C1A"/>
    <w:rsid w:val="66BA2932"/>
    <w:rsid w:val="66D30B95"/>
    <w:rsid w:val="66D5610E"/>
    <w:rsid w:val="66F37795"/>
    <w:rsid w:val="66F83B86"/>
    <w:rsid w:val="66FB26CB"/>
    <w:rsid w:val="67050051"/>
    <w:rsid w:val="670B61BA"/>
    <w:rsid w:val="670F3437"/>
    <w:rsid w:val="672B7619"/>
    <w:rsid w:val="673F0C12"/>
    <w:rsid w:val="674C01A4"/>
    <w:rsid w:val="675D4D7D"/>
    <w:rsid w:val="67717495"/>
    <w:rsid w:val="677D5E3A"/>
    <w:rsid w:val="678645DC"/>
    <w:rsid w:val="67890A12"/>
    <w:rsid w:val="679367F1"/>
    <w:rsid w:val="67A4786A"/>
    <w:rsid w:val="67AC4971"/>
    <w:rsid w:val="67B61C59"/>
    <w:rsid w:val="67D81583"/>
    <w:rsid w:val="67DF08A2"/>
    <w:rsid w:val="67E05984"/>
    <w:rsid w:val="67E1286C"/>
    <w:rsid w:val="67E326A6"/>
    <w:rsid w:val="67E71D9C"/>
    <w:rsid w:val="67E73BFB"/>
    <w:rsid w:val="67EA64C8"/>
    <w:rsid w:val="67ED316C"/>
    <w:rsid w:val="67F73E3E"/>
    <w:rsid w:val="68000819"/>
    <w:rsid w:val="68064081"/>
    <w:rsid w:val="68091050"/>
    <w:rsid w:val="680D317C"/>
    <w:rsid w:val="681C3A47"/>
    <w:rsid w:val="682416D5"/>
    <w:rsid w:val="683706DE"/>
    <w:rsid w:val="684959CD"/>
    <w:rsid w:val="685875C0"/>
    <w:rsid w:val="685B114C"/>
    <w:rsid w:val="685C79C8"/>
    <w:rsid w:val="686A0D5C"/>
    <w:rsid w:val="689478DF"/>
    <w:rsid w:val="689618A9"/>
    <w:rsid w:val="68A2260D"/>
    <w:rsid w:val="68A778F7"/>
    <w:rsid w:val="68AA3957"/>
    <w:rsid w:val="68CE3A97"/>
    <w:rsid w:val="68DA236B"/>
    <w:rsid w:val="68EC771B"/>
    <w:rsid w:val="68F77AE8"/>
    <w:rsid w:val="68FC0882"/>
    <w:rsid w:val="69076C5D"/>
    <w:rsid w:val="692602FB"/>
    <w:rsid w:val="692C0B14"/>
    <w:rsid w:val="69335A95"/>
    <w:rsid w:val="69390486"/>
    <w:rsid w:val="69513A22"/>
    <w:rsid w:val="695569BF"/>
    <w:rsid w:val="69564B94"/>
    <w:rsid w:val="695C7CBE"/>
    <w:rsid w:val="696C260A"/>
    <w:rsid w:val="69C53059"/>
    <w:rsid w:val="69CB3AD1"/>
    <w:rsid w:val="69E20B1E"/>
    <w:rsid w:val="69EA1E9A"/>
    <w:rsid w:val="69EB1780"/>
    <w:rsid w:val="69F1555E"/>
    <w:rsid w:val="69F34AD9"/>
    <w:rsid w:val="6A3B5C82"/>
    <w:rsid w:val="6A4A2422"/>
    <w:rsid w:val="6A4B7EB5"/>
    <w:rsid w:val="6A627569"/>
    <w:rsid w:val="6A694C78"/>
    <w:rsid w:val="6A7B324A"/>
    <w:rsid w:val="6A935934"/>
    <w:rsid w:val="6AA843DD"/>
    <w:rsid w:val="6AB95FA7"/>
    <w:rsid w:val="6ABE6E95"/>
    <w:rsid w:val="6AC743A9"/>
    <w:rsid w:val="6AD66F32"/>
    <w:rsid w:val="6ADE7537"/>
    <w:rsid w:val="6AFF2F4A"/>
    <w:rsid w:val="6B0B7337"/>
    <w:rsid w:val="6B0B7C00"/>
    <w:rsid w:val="6B1E4154"/>
    <w:rsid w:val="6B3727A3"/>
    <w:rsid w:val="6B446275"/>
    <w:rsid w:val="6B556742"/>
    <w:rsid w:val="6B6044F3"/>
    <w:rsid w:val="6B635FEF"/>
    <w:rsid w:val="6B8E51BB"/>
    <w:rsid w:val="6B971160"/>
    <w:rsid w:val="6BB44002"/>
    <w:rsid w:val="6BCB43C3"/>
    <w:rsid w:val="6BD32735"/>
    <w:rsid w:val="6BE0108D"/>
    <w:rsid w:val="6BE51400"/>
    <w:rsid w:val="6BF310DF"/>
    <w:rsid w:val="6BF902D6"/>
    <w:rsid w:val="6BF9385F"/>
    <w:rsid w:val="6BFD68E4"/>
    <w:rsid w:val="6C0C2A49"/>
    <w:rsid w:val="6C1F551D"/>
    <w:rsid w:val="6C5764F3"/>
    <w:rsid w:val="6C587E10"/>
    <w:rsid w:val="6C6B2C38"/>
    <w:rsid w:val="6C726A22"/>
    <w:rsid w:val="6C7C7593"/>
    <w:rsid w:val="6C806981"/>
    <w:rsid w:val="6C922AD0"/>
    <w:rsid w:val="6CA624EA"/>
    <w:rsid w:val="6CE1662C"/>
    <w:rsid w:val="6CF50484"/>
    <w:rsid w:val="6D0C6300"/>
    <w:rsid w:val="6D126628"/>
    <w:rsid w:val="6D2F5E28"/>
    <w:rsid w:val="6D4C69DA"/>
    <w:rsid w:val="6D5D0BE7"/>
    <w:rsid w:val="6D5E670D"/>
    <w:rsid w:val="6D5F1454"/>
    <w:rsid w:val="6D6F7A81"/>
    <w:rsid w:val="6D7061B6"/>
    <w:rsid w:val="6D7B35C7"/>
    <w:rsid w:val="6D7C1232"/>
    <w:rsid w:val="6D8E28E7"/>
    <w:rsid w:val="6D927B87"/>
    <w:rsid w:val="6D97331C"/>
    <w:rsid w:val="6DAC1EBF"/>
    <w:rsid w:val="6DD00252"/>
    <w:rsid w:val="6DD12C6E"/>
    <w:rsid w:val="6DF66946"/>
    <w:rsid w:val="6E0702C3"/>
    <w:rsid w:val="6E082F81"/>
    <w:rsid w:val="6E0B1BA3"/>
    <w:rsid w:val="6E2561D4"/>
    <w:rsid w:val="6E3B4301"/>
    <w:rsid w:val="6E4175F0"/>
    <w:rsid w:val="6E421B8B"/>
    <w:rsid w:val="6E566991"/>
    <w:rsid w:val="6E6616D3"/>
    <w:rsid w:val="6E7A5955"/>
    <w:rsid w:val="6E7D449A"/>
    <w:rsid w:val="6E812890"/>
    <w:rsid w:val="6E8129E7"/>
    <w:rsid w:val="6E994ED0"/>
    <w:rsid w:val="6EA47A5F"/>
    <w:rsid w:val="6EA94E17"/>
    <w:rsid w:val="6EC627BC"/>
    <w:rsid w:val="6EDB0E90"/>
    <w:rsid w:val="6F2134E9"/>
    <w:rsid w:val="6F2274F4"/>
    <w:rsid w:val="6F5E68E4"/>
    <w:rsid w:val="6F612952"/>
    <w:rsid w:val="6F63625D"/>
    <w:rsid w:val="6F667AFB"/>
    <w:rsid w:val="6F7D47CA"/>
    <w:rsid w:val="6FA42F27"/>
    <w:rsid w:val="6FB15812"/>
    <w:rsid w:val="6FBE7D30"/>
    <w:rsid w:val="6FCA008A"/>
    <w:rsid w:val="6FCD1928"/>
    <w:rsid w:val="6FEC3A4A"/>
    <w:rsid w:val="6FFE7D34"/>
    <w:rsid w:val="700215D2"/>
    <w:rsid w:val="70041245"/>
    <w:rsid w:val="700A492A"/>
    <w:rsid w:val="70293003"/>
    <w:rsid w:val="702C14B7"/>
    <w:rsid w:val="704448C6"/>
    <w:rsid w:val="706C0193"/>
    <w:rsid w:val="70741141"/>
    <w:rsid w:val="70785D38"/>
    <w:rsid w:val="707B5FC7"/>
    <w:rsid w:val="708C533F"/>
    <w:rsid w:val="70906F8C"/>
    <w:rsid w:val="70A628A5"/>
    <w:rsid w:val="70AA7138"/>
    <w:rsid w:val="70B84386"/>
    <w:rsid w:val="70D310F1"/>
    <w:rsid w:val="70DC117A"/>
    <w:rsid w:val="70E27834"/>
    <w:rsid w:val="70EB4526"/>
    <w:rsid w:val="70F03B20"/>
    <w:rsid w:val="70F52EE5"/>
    <w:rsid w:val="71123BD4"/>
    <w:rsid w:val="712D566C"/>
    <w:rsid w:val="713734FD"/>
    <w:rsid w:val="715369D8"/>
    <w:rsid w:val="715646E5"/>
    <w:rsid w:val="715B5F41"/>
    <w:rsid w:val="715C11B6"/>
    <w:rsid w:val="716F59F0"/>
    <w:rsid w:val="717004AF"/>
    <w:rsid w:val="7174734E"/>
    <w:rsid w:val="719941B8"/>
    <w:rsid w:val="71AA1F21"/>
    <w:rsid w:val="71B55328"/>
    <w:rsid w:val="71BD6174"/>
    <w:rsid w:val="71D75EC6"/>
    <w:rsid w:val="71DC52F1"/>
    <w:rsid w:val="71E573FD"/>
    <w:rsid w:val="71E80D3A"/>
    <w:rsid w:val="721044EA"/>
    <w:rsid w:val="72152B95"/>
    <w:rsid w:val="72174375"/>
    <w:rsid w:val="72191B99"/>
    <w:rsid w:val="72210452"/>
    <w:rsid w:val="72233D38"/>
    <w:rsid w:val="722E2B52"/>
    <w:rsid w:val="72307CD9"/>
    <w:rsid w:val="7242215A"/>
    <w:rsid w:val="726C012F"/>
    <w:rsid w:val="72705875"/>
    <w:rsid w:val="727158F8"/>
    <w:rsid w:val="72785B7B"/>
    <w:rsid w:val="729579C2"/>
    <w:rsid w:val="729A69FD"/>
    <w:rsid w:val="729D25D4"/>
    <w:rsid w:val="72B5448A"/>
    <w:rsid w:val="72B62B48"/>
    <w:rsid w:val="72C139C6"/>
    <w:rsid w:val="72C60FDD"/>
    <w:rsid w:val="72E5799D"/>
    <w:rsid w:val="72EC25A5"/>
    <w:rsid w:val="73067E35"/>
    <w:rsid w:val="731D4975"/>
    <w:rsid w:val="73267FC6"/>
    <w:rsid w:val="73351CBE"/>
    <w:rsid w:val="73373C88"/>
    <w:rsid w:val="73412EB4"/>
    <w:rsid w:val="735A362C"/>
    <w:rsid w:val="736E6F7E"/>
    <w:rsid w:val="73A1666C"/>
    <w:rsid w:val="73A346B2"/>
    <w:rsid w:val="73AA2322"/>
    <w:rsid w:val="73C24F7C"/>
    <w:rsid w:val="73CF7075"/>
    <w:rsid w:val="73D66229"/>
    <w:rsid w:val="73DF5113"/>
    <w:rsid w:val="73FA0DCA"/>
    <w:rsid w:val="741D6775"/>
    <w:rsid w:val="74200DBA"/>
    <w:rsid w:val="7427458C"/>
    <w:rsid w:val="74281CF2"/>
    <w:rsid w:val="74371B9E"/>
    <w:rsid w:val="743C6063"/>
    <w:rsid w:val="743D36AF"/>
    <w:rsid w:val="744300D4"/>
    <w:rsid w:val="74681C20"/>
    <w:rsid w:val="74820F33"/>
    <w:rsid w:val="749127FD"/>
    <w:rsid w:val="74A40EAA"/>
    <w:rsid w:val="74B118ED"/>
    <w:rsid w:val="74BA4845"/>
    <w:rsid w:val="74C32A16"/>
    <w:rsid w:val="74CC7F94"/>
    <w:rsid w:val="74D515DF"/>
    <w:rsid w:val="74DC4AE7"/>
    <w:rsid w:val="74E4399C"/>
    <w:rsid w:val="74F2198D"/>
    <w:rsid w:val="75045F1D"/>
    <w:rsid w:val="750B0F29"/>
    <w:rsid w:val="751100F5"/>
    <w:rsid w:val="75247BC3"/>
    <w:rsid w:val="752B03D6"/>
    <w:rsid w:val="753554D9"/>
    <w:rsid w:val="753A2E87"/>
    <w:rsid w:val="75506659"/>
    <w:rsid w:val="759F54D7"/>
    <w:rsid w:val="75B020CB"/>
    <w:rsid w:val="75B3511C"/>
    <w:rsid w:val="75B765F5"/>
    <w:rsid w:val="75BB3F2B"/>
    <w:rsid w:val="75BC0192"/>
    <w:rsid w:val="75BD11F0"/>
    <w:rsid w:val="75CD34AA"/>
    <w:rsid w:val="75E2383F"/>
    <w:rsid w:val="7603382F"/>
    <w:rsid w:val="761C5B48"/>
    <w:rsid w:val="7621658C"/>
    <w:rsid w:val="76312C11"/>
    <w:rsid w:val="76385D93"/>
    <w:rsid w:val="76391E51"/>
    <w:rsid w:val="763E0E8A"/>
    <w:rsid w:val="763E70DC"/>
    <w:rsid w:val="764B089B"/>
    <w:rsid w:val="76537293"/>
    <w:rsid w:val="7678005C"/>
    <w:rsid w:val="767C6EB0"/>
    <w:rsid w:val="76917A5A"/>
    <w:rsid w:val="769D65B1"/>
    <w:rsid w:val="769E7B7B"/>
    <w:rsid w:val="76DA7925"/>
    <w:rsid w:val="76DC69D5"/>
    <w:rsid w:val="76F0487A"/>
    <w:rsid w:val="77106CCA"/>
    <w:rsid w:val="775B61E3"/>
    <w:rsid w:val="77662524"/>
    <w:rsid w:val="7788574F"/>
    <w:rsid w:val="778C3E77"/>
    <w:rsid w:val="779A17FF"/>
    <w:rsid w:val="779C64D3"/>
    <w:rsid w:val="779D6084"/>
    <w:rsid w:val="77BC70EA"/>
    <w:rsid w:val="77D47CF8"/>
    <w:rsid w:val="77D953E8"/>
    <w:rsid w:val="77F4039A"/>
    <w:rsid w:val="77F760F1"/>
    <w:rsid w:val="780103C1"/>
    <w:rsid w:val="780446B8"/>
    <w:rsid w:val="78171191"/>
    <w:rsid w:val="781F5ABC"/>
    <w:rsid w:val="78327625"/>
    <w:rsid w:val="78441CF7"/>
    <w:rsid w:val="7850650B"/>
    <w:rsid w:val="78587E0C"/>
    <w:rsid w:val="787E5EB6"/>
    <w:rsid w:val="788C05D2"/>
    <w:rsid w:val="788F3C1F"/>
    <w:rsid w:val="7892419A"/>
    <w:rsid w:val="78975629"/>
    <w:rsid w:val="78BC33A1"/>
    <w:rsid w:val="78EF7D76"/>
    <w:rsid w:val="7919798C"/>
    <w:rsid w:val="79225239"/>
    <w:rsid w:val="79542668"/>
    <w:rsid w:val="795A0E71"/>
    <w:rsid w:val="797A26BC"/>
    <w:rsid w:val="79974B02"/>
    <w:rsid w:val="799C4DC1"/>
    <w:rsid w:val="799D05BD"/>
    <w:rsid w:val="79A04FDE"/>
    <w:rsid w:val="79A949C8"/>
    <w:rsid w:val="79BB1A31"/>
    <w:rsid w:val="79BE2540"/>
    <w:rsid w:val="79C50972"/>
    <w:rsid w:val="79DD0015"/>
    <w:rsid w:val="79DF047A"/>
    <w:rsid w:val="79E420F9"/>
    <w:rsid w:val="79FA5A10"/>
    <w:rsid w:val="79FC7092"/>
    <w:rsid w:val="7A012D50"/>
    <w:rsid w:val="7A160049"/>
    <w:rsid w:val="7A22447B"/>
    <w:rsid w:val="7A231265"/>
    <w:rsid w:val="7A2C3F9B"/>
    <w:rsid w:val="7A2D5B1B"/>
    <w:rsid w:val="7A364867"/>
    <w:rsid w:val="7A385760"/>
    <w:rsid w:val="7A475BE8"/>
    <w:rsid w:val="7A5F3B2B"/>
    <w:rsid w:val="7A617B86"/>
    <w:rsid w:val="7A6E2FAE"/>
    <w:rsid w:val="7A804CC0"/>
    <w:rsid w:val="7A833DED"/>
    <w:rsid w:val="7AAF48BB"/>
    <w:rsid w:val="7ABC6C2B"/>
    <w:rsid w:val="7AE71A39"/>
    <w:rsid w:val="7AED5B87"/>
    <w:rsid w:val="7AF3020A"/>
    <w:rsid w:val="7AFB284F"/>
    <w:rsid w:val="7B020A9A"/>
    <w:rsid w:val="7B0D6732"/>
    <w:rsid w:val="7B12094C"/>
    <w:rsid w:val="7B233B80"/>
    <w:rsid w:val="7B407F31"/>
    <w:rsid w:val="7B53181F"/>
    <w:rsid w:val="7B533629"/>
    <w:rsid w:val="7B541DF1"/>
    <w:rsid w:val="7B5A49B8"/>
    <w:rsid w:val="7B6E2211"/>
    <w:rsid w:val="7B8009EB"/>
    <w:rsid w:val="7B8C6B3B"/>
    <w:rsid w:val="7B8E1C4C"/>
    <w:rsid w:val="7BA3327C"/>
    <w:rsid w:val="7BA93249"/>
    <w:rsid w:val="7BAD6126"/>
    <w:rsid w:val="7BB27477"/>
    <w:rsid w:val="7BBC1A53"/>
    <w:rsid w:val="7BC16B1B"/>
    <w:rsid w:val="7BD5403F"/>
    <w:rsid w:val="7BDB40F3"/>
    <w:rsid w:val="7BF66548"/>
    <w:rsid w:val="7C120DEF"/>
    <w:rsid w:val="7C175BC3"/>
    <w:rsid w:val="7C1E3B8B"/>
    <w:rsid w:val="7C2B2058"/>
    <w:rsid w:val="7C2F0744"/>
    <w:rsid w:val="7C3C2310"/>
    <w:rsid w:val="7C495D51"/>
    <w:rsid w:val="7C4E4E6B"/>
    <w:rsid w:val="7C5B4519"/>
    <w:rsid w:val="7CA671F5"/>
    <w:rsid w:val="7CAF4890"/>
    <w:rsid w:val="7CBE0F77"/>
    <w:rsid w:val="7CE147E7"/>
    <w:rsid w:val="7CF20277"/>
    <w:rsid w:val="7D032E2D"/>
    <w:rsid w:val="7D311F8A"/>
    <w:rsid w:val="7D382624"/>
    <w:rsid w:val="7D533714"/>
    <w:rsid w:val="7D5E036D"/>
    <w:rsid w:val="7D645E92"/>
    <w:rsid w:val="7D8D0443"/>
    <w:rsid w:val="7D8F2F7A"/>
    <w:rsid w:val="7DA2607B"/>
    <w:rsid w:val="7DBB0E5C"/>
    <w:rsid w:val="7DCB6D0A"/>
    <w:rsid w:val="7DD56578"/>
    <w:rsid w:val="7DE373FB"/>
    <w:rsid w:val="7DE8109A"/>
    <w:rsid w:val="7DE820A4"/>
    <w:rsid w:val="7DE828A2"/>
    <w:rsid w:val="7DEC566F"/>
    <w:rsid w:val="7DED1B13"/>
    <w:rsid w:val="7DF369FE"/>
    <w:rsid w:val="7E1625FD"/>
    <w:rsid w:val="7E2D1F10"/>
    <w:rsid w:val="7E2D35B4"/>
    <w:rsid w:val="7E494BD9"/>
    <w:rsid w:val="7E4B1B80"/>
    <w:rsid w:val="7E50662D"/>
    <w:rsid w:val="7E957AB5"/>
    <w:rsid w:val="7E97382D"/>
    <w:rsid w:val="7E9E59A4"/>
    <w:rsid w:val="7EAA47F1"/>
    <w:rsid w:val="7EAF3C8A"/>
    <w:rsid w:val="7ED74AAE"/>
    <w:rsid w:val="7EE60311"/>
    <w:rsid w:val="7F051124"/>
    <w:rsid w:val="7F1C3D32"/>
    <w:rsid w:val="7F2214CF"/>
    <w:rsid w:val="7F4B58B3"/>
    <w:rsid w:val="7F4D76B4"/>
    <w:rsid w:val="7F54171E"/>
    <w:rsid w:val="7F572FBC"/>
    <w:rsid w:val="7F5C06EB"/>
    <w:rsid w:val="7F7841A9"/>
    <w:rsid w:val="7F916590"/>
    <w:rsid w:val="7F9D1317"/>
    <w:rsid w:val="7F9D4E73"/>
    <w:rsid w:val="7FBD585C"/>
    <w:rsid w:val="7FF157CA"/>
    <w:rsid w:val="7FFB06EB"/>
    <w:rsid w:val="FB9F9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autoRedefine/>
    <w:qFormat/>
    <w:uiPriority w:val="0"/>
    <w:pPr>
      <w:keepNext/>
      <w:jc w:val="center"/>
      <w:outlineLvl w:val="1"/>
    </w:pPr>
    <w:rPr>
      <w:rFonts w:ascii="仿宋_GB2312" w:hAnsi="宋体" w:eastAsia="仿宋_GB2312"/>
      <w:sz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5"/>
    <w:autoRedefine/>
    <w:qFormat/>
    <w:uiPriority w:val="0"/>
    <w:pPr>
      <w:keepNext/>
      <w:keepLines/>
      <w:spacing w:before="280" w:after="290" w:line="376" w:lineRule="auto"/>
      <w:outlineLvl w:val="3"/>
    </w:pPr>
    <w:rPr>
      <w:rFonts w:ascii="等线 Light" w:hAnsi="等线 Light" w:eastAsia="等线 Light"/>
      <w:b/>
      <w:bCs/>
      <w:sz w:val="28"/>
      <w:szCs w:val="28"/>
      <w:lang w:val="zh-CN" w:eastAsia="zh-CN"/>
    </w:rPr>
  </w:style>
  <w:style w:type="paragraph" w:styleId="6">
    <w:name w:val="heading 9"/>
    <w:basedOn w:val="1"/>
    <w:next w:val="1"/>
    <w:autoRedefine/>
    <w:qFormat/>
    <w:uiPriority w:val="0"/>
    <w:pPr>
      <w:spacing w:before="240" w:after="64" w:line="317" w:lineRule="auto"/>
      <w:outlineLvl w:val="8"/>
    </w:pPr>
    <w:rPr>
      <w:rFonts w:ascii="Arial" w:eastAsia="黑体"/>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7">
    <w:name w:val="Note Heading"/>
    <w:basedOn w:val="1"/>
    <w:next w:val="1"/>
    <w:link w:val="43"/>
    <w:autoRedefine/>
    <w:qFormat/>
    <w:uiPriority w:val="0"/>
    <w:pPr>
      <w:overflowPunct w:val="0"/>
      <w:adjustRightInd w:val="0"/>
      <w:snapToGrid w:val="0"/>
      <w:spacing w:line="300" w:lineRule="auto"/>
      <w:jc w:val="center"/>
    </w:pPr>
    <w:rPr>
      <w:szCs w:val="20"/>
    </w:rPr>
  </w:style>
  <w:style w:type="paragraph" w:styleId="8">
    <w:name w:val="index 8"/>
    <w:basedOn w:val="1"/>
    <w:next w:val="1"/>
    <w:autoRedefine/>
    <w:qFormat/>
    <w:uiPriority w:val="0"/>
    <w:pPr>
      <w:spacing w:line="276" w:lineRule="auto"/>
      <w:jc w:val="left"/>
    </w:pPr>
    <w:rPr>
      <w:rFonts w:ascii="宋体" w:hAnsi="宋体"/>
      <w:color w:val="FF0000"/>
      <w:szCs w:val="21"/>
    </w:rPr>
  </w:style>
  <w:style w:type="paragraph" w:styleId="9">
    <w:name w:val="Normal Indent"/>
    <w:basedOn w:val="1"/>
    <w:autoRedefine/>
    <w:qFormat/>
    <w:uiPriority w:val="0"/>
    <w:pPr>
      <w:ind w:firstLine="420" w:firstLineChars="200"/>
    </w:pPr>
  </w:style>
  <w:style w:type="paragraph" w:styleId="10">
    <w:name w:val="Document Map"/>
    <w:basedOn w:val="1"/>
    <w:autoRedefine/>
    <w:qFormat/>
    <w:uiPriority w:val="0"/>
    <w:pPr>
      <w:shd w:val="clear" w:color="auto" w:fill="000080"/>
    </w:pPr>
  </w:style>
  <w:style w:type="paragraph" w:styleId="11">
    <w:name w:val="annotation text"/>
    <w:basedOn w:val="1"/>
    <w:link w:val="44"/>
    <w:autoRedefine/>
    <w:qFormat/>
    <w:uiPriority w:val="0"/>
    <w:pPr>
      <w:jc w:val="left"/>
    </w:pPr>
    <w:rPr>
      <w:lang w:val="zh-CN" w:eastAsia="zh-CN"/>
    </w:rPr>
  </w:style>
  <w:style w:type="paragraph" w:styleId="12">
    <w:name w:val="Body Text"/>
    <w:basedOn w:val="1"/>
    <w:autoRedefine/>
    <w:qFormat/>
    <w:uiPriority w:val="0"/>
    <w:rPr>
      <w:rFonts w:ascii="宋体" w:hAnsi="宋体"/>
      <w:sz w:val="28"/>
    </w:rPr>
  </w:style>
  <w:style w:type="paragraph" w:styleId="13">
    <w:name w:val="Body Text Indent"/>
    <w:basedOn w:val="1"/>
    <w:autoRedefine/>
    <w:qFormat/>
    <w:uiPriority w:val="0"/>
    <w:pPr>
      <w:snapToGrid w:val="0"/>
      <w:spacing w:line="500" w:lineRule="exact"/>
      <w:ind w:firstLine="358" w:firstLineChars="128"/>
    </w:pPr>
    <w:rPr>
      <w:rFonts w:ascii="宋体" w:hAnsi="宋体"/>
      <w:sz w:val="28"/>
    </w:rPr>
  </w:style>
  <w:style w:type="paragraph" w:styleId="14">
    <w:name w:val="toc 3"/>
    <w:basedOn w:val="1"/>
    <w:next w:val="1"/>
    <w:autoRedefine/>
    <w:qFormat/>
    <w:uiPriority w:val="39"/>
    <w:pPr>
      <w:ind w:left="840" w:leftChars="400"/>
    </w:pPr>
  </w:style>
  <w:style w:type="paragraph" w:styleId="15">
    <w:name w:val="Plain Text"/>
    <w:basedOn w:val="1"/>
    <w:autoRedefine/>
    <w:qFormat/>
    <w:uiPriority w:val="0"/>
    <w:rPr>
      <w:rFonts w:ascii="宋体" w:hAnsi="Courier New"/>
      <w:szCs w:val="20"/>
    </w:rPr>
  </w:style>
  <w:style w:type="paragraph" w:styleId="16">
    <w:name w:val="Date"/>
    <w:basedOn w:val="1"/>
    <w:next w:val="1"/>
    <w:autoRedefine/>
    <w:qFormat/>
    <w:uiPriority w:val="0"/>
    <w:rPr>
      <w:sz w:val="24"/>
      <w:szCs w:val="20"/>
    </w:rPr>
  </w:style>
  <w:style w:type="paragraph" w:styleId="17">
    <w:name w:val="Body Text Indent 2"/>
    <w:basedOn w:val="1"/>
    <w:autoRedefine/>
    <w:qFormat/>
    <w:uiPriority w:val="0"/>
    <w:pPr>
      <w:spacing w:line="600" w:lineRule="exact"/>
      <w:ind w:firstLine="480" w:firstLineChars="200"/>
    </w:pPr>
    <w:rPr>
      <w:rFonts w:ascii="宋体" w:hAnsi="宋体"/>
      <w:sz w:val="24"/>
    </w:rPr>
  </w:style>
  <w:style w:type="paragraph" w:styleId="18">
    <w:name w:val="Balloon Text"/>
    <w:basedOn w:val="1"/>
    <w:autoRedefine/>
    <w:qFormat/>
    <w:uiPriority w:val="0"/>
    <w:rPr>
      <w:sz w:val="18"/>
      <w:szCs w:val="18"/>
    </w:rPr>
  </w:style>
  <w:style w:type="paragraph" w:styleId="19">
    <w:name w:val="footer"/>
    <w:basedOn w:val="1"/>
    <w:link w:val="49"/>
    <w:autoRedefine/>
    <w:qFormat/>
    <w:uiPriority w:val="99"/>
    <w:pPr>
      <w:tabs>
        <w:tab w:val="center" w:pos="4153"/>
        <w:tab w:val="right" w:pos="8306"/>
      </w:tabs>
      <w:snapToGrid w:val="0"/>
      <w:jc w:val="left"/>
    </w:pPr>
    <w:rPr>
      <w:sz w:val="18"/>
      <w:szCs w:val="18"/>
      <w:lang w:val="zh-CN" w:eastAsia="zh-CN"/>
    </w:rPr>
  </w:style>
  <w:style w:type="paragraph" w:styleId="2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21">
    <w:name w:val="toc 1"/>
    <w:basedOn w:val="1"/>
    <w:next w:val="1"/>
    <w:autoRedefine/>
    <w:qFormat/>
    <w:uiPriority w:val="39"/>
    <w:pPr>
      <w:widowControl/>
      <w:spacing w:before="120"/>
      <w:jc w:val="left"/>
    </w:pPr>
    <w:rPr>
      <w:b/>
      <w:bCs/>
      <w:i/>
      <w:iCs/>
      <w:kern w:val="0"/>
      <w:sz w:val="20"/>
      <w:szCs w:val="28"/>
    </w:rPr>
  </w:style>
  <w:style w:type="paragraph" w:styleId="22">
    <w:name w:val="footnote text"/>
    <w:basedOn w:val="1"/>
    <w:link w:val="67"/>
    <w:autoRedefine/>
    <w:qFormat/>
    <w:uiPriority w:val="0"/>
    <w:pPr>
      <w:snapToGrid w:val="0"/>
      <w:jc w:val="left"/>
    </w:pPr>
    <w:rPr>
      <w:rFonts w:ascii="Calibri" w:hAnsi="Calibri"/>
      <w:sz w:val="18"/>
      <w:szCs w:val="20"/>
    </w:rPr>
  </w:style>
  <w:style w:type="paragraph" w:styleId="23">
    <w:name w:val="toc 2"/>
    <w:basedOn w:val="1"/>
    <w:next w:val="1"/>
    <w:autoRedefine/>
    <w:qFormat/>
    <w:uiPriority w:val="39"/>
    <w:pPr>
      <w:ind w:left="420" w:leftChars="200"/>
    </w:pPr>
  </w:style>
  <w:style w:type="paragraph" w:styleId="24">
    <w:name w:val="Body Text 2"/>
    <w:basedOn w:val="1"/>
    <w:autoRedefine/>
    <w:qFormat/>
    <w:uiPriority w:val="0"/>
    <w:pPr>
      <w:spacing w:line="600" w:lineRule="exact"/>
    </w:pPr>
    <w:rPr>
      <w:rFonts w:ascii="宋体" w:hAnsi="宋体"/>
      <w:sz w:val="24"/>
    </w:rPr>
  </w:style>
  <w:style w:type="paragraph" w:styleId="25">
    <w:name w:val="Normal (Web)"/>
    <w:basedOn w:val="1"/>
    <w:autoRedefine/>
    <w:qFormat/>
    <w:uiPriority w:val="0"/>
    <w:pPr>
      <w:spacing w:before="100" w:beforeAutospacing="1" w:after="100" w:afterAutospacing="1"/>
      <w:jc w:val="left"/>
    </w:pPr>
    <w:rPr>
      <w:kern w:val="0"/>
      <w:sz w:val="24"/>
    </w:rPr>
  </w:style>
  <w:style w:type="paragraph" w:styleId="26">
    <w:name w:val="annotation subject"/>
    <w:basedOn w:val="11"/>
    <w:next w:val="11"/>
    <w:link w:val="48"/>
    <w:autoRedefine/>
    <w:qFormat/>
    <w:uiPriority w:val="0"/>
    <w:rPr>
      <w:b/>
      <w:bCs/>
    </w:rPr>
  </w:style>
  <w:style w:type="paragraph" w:styleId="27">
    <w:name w:val="Body Text First Indent"/>
    <w:basedOn w:val="12"/>
    <w:autoRedefine/>
    <w:qFormat/>
    <w:uiPriority w:val="0"/>
    <w:pPr>
      <w:ind w:firstLine="420" w:firstLineChars="100"/>
    </w:pPr>
    <w:rPr>
      <w:sz w:val="34"/>
    </w:rPr>
  </w:style>
  <w:style w:type="paragraph" w:styleId="28">
    <w:name w:val="Body Text First Indent 2"/>
    <w:basedOn w:val="13"/>
    <w:autoRedefine/>
    <w:qFormat/>
    <w:uiPriority w:val="99"/>
    <w:pPr>
      <w:spacing w:after="120" w:line="360" w:lineRule="auto"/>
      <w:ind w:left="420" w:leftChars="200" w:firstLine="420"/>
    </w:pPr>
  </w:style>
  <w:style w:type="table" w:styleId="30">
    <w:name w:val="Table Grid"/>
    <w:basedOn w:val="2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0"/>
    <w:rPr>
      <w:rFonts w:ascii="Times New Roman" w:hAnsi="Times New Roman" w:eastAsia="宋体" w:cs="Times New Roman"/>
      <w:b/>
      <w:bCs/>
    </w:rPr>
  </w:style>
  <w:style w:type="character" w:styleId="33">
    <w:name w:val="page number"/>
    <w:autoRedefine/>
    <w:qFormat/>
    <w:uiPriority w:val="0"/>
    <w:rPr>
      <w:rFonts w:ascii="Times New Roman" w:hAnsi="Times New Roman" w:eastAsia="宋体" w:cs="Times New Roman"/>
    </w:rPr>
  </w:style>
  <w:style w:type="character" w:styleId="34">
    <w:name w:val="FollowedHyperlink"/>
    <w:autoRedefine/>
    <w:qFormat/>
    <w:uiPriority w:val="0"/>
    <w:rPr>
      <w:rFonts w:ascii="Times New Roman" w:hAnsi="Times New Roman" w:eastAsia="宋体" w:cs="Times New Roman"/>
      <w:color w:val="333333"/>
      <w:u w:val="none"/>
    </w:rPr>
  </w:style>
  <w:style w:type="character" w:styleId="35">
    <w:name w:val="Emphasis"/>
    <w:autoRedefine/>
    <w:qFormat/>
    <w:uiPriority w:val="0"/>
    <w:rPr>
      <w:rFonts w:ascii="Times New Roman" w:hAnsi="Times New Roman" w:eastAsia="宋体" w:cs="Times New Roman"/>
    </w:rPr>
  </w:style>
  <w:style w:type="character" w:styleId="36">
    <w:name w:val="HTML Definition"/>
    <w:autoRedefine/>
    <w:qFormat/>
    <w:uiPriority w:val="0"/>
    <w:rPr>
      <w:rFonts w:ascii="Times New Roman" w:hAnsi="Times New Roman" w:eastAsia="宋体" w:cs="Times New Roman"/>
    </w:rPr>
  </w:style>
  <w:style w:type="character" w:styleId="37">
    <w:name w:val="HTML Variable"/>
    <w:autoRedefine/>
    <w:qFormat/>
    <w:uiPriority w:val="0"/>
    <w:rPr>
      <w:rFonts w:ascii="Times New Roman" w:hAnsi="Times New Roman" w:eastAsia="宋体" w:cs="Times New Roman"/>
    </w:rPr>
  </w:style>
  <w:style w:type="character" w:styleId="38">
    <w:name w:val="Hyperlink"/>
    <w:autoRedefine/>
    <w:qFormat/>
    <w:uiPriority w:val="99"/>
    <w:rPr>
      <w:rFonts w:ascii="Times New Roman" w:hAnsi="Times New Roman" w:eastAsia="宋体" w:cs="Times New Roman"/>
      <w:color w:val="333333"/>
      <w:u w:val="none"/>
    </w:rPr>
  </w:style>
  <w:style w:type="character" w:styleId="39">
    <w:name w:val="HTML Code"/>
    <w:autoRedefine/>
    <w:qFormat/>
    <w:uiPriority w:val="0"/>
    <w:rPr>
      <w:rFonts w:ascii="Courier New" w:hAnsi="Courier New" w:eastAsia="宋体" w:cs="Times New Roman"/>
      <w:sz w:val="20"/>
    </w:rPr>
  </w:style>
  <w:style w:type="character" w:styleId="40">
    <w:name w:val="annotation reference"/>
    <w:autoRedefine/>
    <w:qFormat/>
    <w:uiPriority w:val="0"/>
    <w:rPr>
      <w:rFonts w:ascii="Times New Roman" w:hAnsi="Times New Roman" w:eastAsia="宋体" w:cs="Times New Roman"/>
      <w:sz w:val="21"/>
      <w:szCs w:val="21"/>
    </w:rPr>
  </w:style>
  <w:style w:type="character" w:styleId="41">
    <w:name w:val="HTML Cite"/>
    <w:autoRedefine/>
    <w:qFormat/>
    <w:uiPriority w:val="0"/>
    <w:rPr>
      <w:rFonts w:ascii="Times New Roman" w:hAnsi="Times New Roman" w:eastAsia="宋体" w:cs="Times New Roman"/>
    </w:rPr>
  </w:style>
  <w:style w:type="character" w:styleId="42">
    <w:name w:val="footnote reference"/>
    <w:autoRedefine/>
    <w:qFormat/>
    <w:uiPriority w:val="0"/>
    <w:rPr>
      <w:vertAlign w:val="superscript"/>
    </w:rPr>
  </w:style>
  <w:style w:type="character" w:customStyle="1" w:styleId="43">
    <w:name w:val="注释标题 字符"/>
    <w:link w:val="7"/>
    <w:autoRedefine/>
    <w:qFormat/>
    <w:uiPriority w:val="0"/>
    <w:rPr>
      <w:rFonts w:ascii="Times New Roman" w:hAnsi="Times New Roman" w:eastAsia="宋体" w:cs="Times New Roman"/>
      <w:kern w:val="2"/>
      <w:sz w:val="21"/>
      <w:lang w:val="en-US" w:eastAsia="zh-CN" w:bidi="ar-SA"/>
    </w:rPr>
  </w:style>
  <w:style w:type="character" w:customStyle="1" w:styleId="44">
    <w:name w:val="批注文字 字符"/>
    <w:link w:val="11"/>
    <w:autoRedefine/>
    <w:qFormat/>
    <w:uiPriority w:val="0"/>
    <w:rPr>
      <w:rFonts w:ascii="Times New Roman" w:hAnsi="Times New Roman" w:eastAsia="宋体" w:cs="Times New Roman"/>
      <w:kern w:val="2"/>
      <w:sz w:val="21"/>
      <w:szCs w:val="24"/>
    </w:rPr>
  </w:style>
  <w:style w:type="character" w:customStyle="1" w:styleId="45">
    <w:name w:val="标题 4 字符"/>
    <w:link w:val="5"/>
    <w:autoRedefine/>
    <w:qFormat/>
    <w:uiPriority w:val="0"/>
    <w:rPr>
      <w:rFonts w:ascii="等线 Light" w:hAnsi="等线 Light" w:eastAsia="等线 Light" w:cs="Times New Roman"/>
      <w:b/>
      <w:bCs/>
      <w:kern w:val="2"/>
      <w:sz w:val="28"/>
      <w:szCs w:val="28"/>
    </w:rPr>
  </w:style>
  <w:style w:type="character" w:customStyle="1" w:styleId="46">
    <w:name w:val="gonggao-downline1"/>
    <w:autoRedefine/>
    <w:qFormat/>
    <w:uiPriority w:val="0"/>
    <w:rPr>
      <w:rFonts w:ascii="Times New Roman" w:hAnsi="Times New Roman" w:eastAsia="宋体" w:cs="Times New Roman"/>
      <w:b/>
      <w:bCs/>
      <w:u w:val="single"/>
    </w:rPr>
  </w:style>
  <w:style w:type="character" w:customStyle="1" w:styleId="47">
    <w:name w:val="页眉 字符"/>
    <w:link w:val="20"/>
    <w:autoRedefine/>
    <w:qFormat/>
    <w:uiPriority w:val="99"/>
    <w:rPr>
      <w:rFonts w:ascii="Times New Roman" w:hAnsi="Times New Roman" w:eastAsia="宋体" w:cs="Times New Roman"/>
      <w:kern w:val="2"/>
      <w:sz w:val="18"/>
      <w:szCs w:val="18"/>
    </w:rPr>
  </w:style>
  <w:style w:type="character" w:customStyle="1" w:styleId="48">
    <w:name w:val="批注主题 字符"/>
    <w:link w:val="26"/>
    <w:autoRedefine/>
    <w:qFormat/>
    <w:uiPriority w:val="0"/>
    <w:rPr>
      <w:rFonts w:ascii="Times New Roman" w:hAnsi="Times New Roman" w:eastAsia="宋体" w:cs="Times New Roman"/>
      <w:b/>
      <w:bCs/>
      <w:kern w:val="2"/>
      <w:sz w:val="21"/>
      <w:szCs w:val="24"/>
    </w:rPr>
  </w:style>
  <w:style w:type="character" w:customStyle="1" w:styleId="49">
    <w:name w:val="页脚 字符1"/>
    <w:link w:val="19"/>
    <w:autoRedefine/>
    <w:qFormat/>
    <w:uiPriority w:val="0"/>
    <w:rPr>
      <w:rFonts w:ascii="Times New Roman" w:hAnsi="Times New Roman" w:eastAsia="宋体" w:cs="Times New Roman"/>
      <w:kern w:val="2"/>
      <w:sz w:val="18"/>
      <w:szCs w:val="18"/>
    </w:rPr>
  </w:style>
  <w:style w:type="character" w:customStyle="1" w:styleId="50">
    <w:name w:val="页脚 字符"/>
    <w:autoRedefine/>
    <w:qFormat/>
    <w:uiPriority w:val="99"/>
    <w:rPr>
      <w:rFonts w:ascii="Times New Roman" w:hAnsi="Times New Roman" w:eastAsia="宋体" w:cs="Times New Roman"/>
    </w:rPr>
  </w:style>
  <w:style w:type="paragraph" w:customStyle="1" w:styleId="51">
    <w:name w:val="无间隔1"/>
    <w:autoRedefine/>
    <w:qFormat/>
    <w:uiPriority w:val="0"/>
    <w:rPr>
      <w:rFonts w:ascii="Times New Roman" w:hAnsi="Times New Roman" w:eastAsia="宋体" w:cs="Times New Roman"/>
      <w:sz w:val="22"/>
      <w:szCs w:val="22"/>
      <w:lang w:val="en-US" w:eastAsia="en-US" w:bidi="en-US"/>
    </w:rPr>
  </w:style>
  <w:style w:type="paragraph" w:customStyle="1" w:styleId="52">
    <w:name w:val="MM Topic 9"/>
    <w:basedOn w:val="6"/>
    <w:next w:val="53"/>
    <w:autoRedefine/>
    <w:qFormat/>
    <w:uiPriority w:val="0"/>
  </w:style>
  <w:style w:type="paragraph" w:customStyle="1" w:styleId="53">
    <w:name w:val="样式2"/>
    <w:basedOn w:val="1"/>
    <w:next w:val="54"/>
    <w:autoRedefine/>
    <w:qFormat/>
    <w:uiPriority w:val="0"/>
    <w:pPr>
      <w:spacing w:line="410" w:lineRule="atLeast"/>
    </w:pPr>
    <w:rPr>
      <w:rFonts w:ascii="宋体"/>
      <w:sz w:val="34"/>
    </w:rPr>
  </w:style>
  <w:style w:type="paragraph" w:customStyle="1" w:styleId="54">
    <w:name w:val="页脚 New New New New New New New New New New"/>
    <w:next w:val="55"/>
    <w:autoRedefine/>
    <w:qFormat/>
    <w:uiPriority w:val="0"/>
    <w:pPr>
      <w:widowControl w:val="0"/>
    </w:pPr>
    <w:rPr>
      <w:rFonts w:ascii="Times New Roman" w:hAnsi="Times New Roman" w:eastAsia="宋体" w:cs="Times New Roman"/>
      <w:sz w:val="18"/>
      <w:szCs w:val="22"/>
      <w:lang w:val="en-US" w:eastAsia="zh-CN" w:bidi="ar-SA"/>
    </w:rPr>
  </w:style>
  <w:style w:type="paragraph" w:customStyle="1" w:styleId="55">
    <w:name w:val="目录 911"/>
    <w:next w:val="1"/>
    <w:autoRedefine/>
    <w:qFormat/>
    <w:uiPriority w:val="0"/>
    <w:pPr>
      <w:wordWrap w:val="0"/>
      <w:ind w:left="2975"/>
      <w:jc w:val="both"/>
    </w:pPr>
    <w:rPr>
      <w:rFonts w:ascii="Times New Roman" w:hAnsi="Times New Roman" w:eastAsia="宋体" w:cs="Times New Roman"/>
      <w:sz w:val="21"/>
      <w:szCs w:val="22"/>
      <w:lang w:val="en-US" w:eastAsia="zh-CN" w:bidi="ar-SA"/>
    </w:rPr>
  </w:style>
  <w:style w:type="paragraph" w:customStyle="1" w:styleId="56">
    <w:name w:val="样式"/>
    <w:autoRedefine/>
    <w:qFormat/>
    <w:uiPriority w:val="0"/>
    <w:pPr>
      <w:widowControl w:val="0"/>
    </w:pPr>
    <w:rPr>
      <w:rFonts w:ascii="宋体" w:hAnsi="宋体" w:eastAsia="宋体" w:cs="宋体"/>
      <w:color w:val="000000"/>
      <w:sz w:val="24"/>
      <w:szCs w:val="24"/>
      <w:lang w:val="en-US" w:eastAsia="zh-CN" w:bidi="ar-SA"/>
    </w:rPr>
  </w:style>
  <w:style w:type="paragraph" w:customStyle="1" w:styleId="57">
    <w:name w:val="TOC Heading"/>
    <w:basedOn w:val="2"/>
    <w:next w:val="1"/>
    <w:autoRedefine/>
    <w:qFormat/>
    <w:uiPriority w:val="0"/>
    <w:pPr>
      <w:outlineLvl w:val="9"/>
    </w:pPr>
  </w:style>
  <w:style w:type="paragraph" w:customStyle="1" w:styleId="58">
    <w:name w:val="目录"/>
    <w:basedOn w:val="1"/>
    <w:autoRedefine/>
    <w:qFormat/>
    <w:uiPriority w:val="0"/>
    <w:pPr>
      <w:widowControl/>
      <w:jc w:val="center"/>
    </w:pPr>
    <w:rPr>
      <w:rFonts w:ascii="宋体"/>
      <w:b/>
      <w:kern w:val="0"/>
      <w:sz w:val="36"/>
      <w:szCs w:val="20"/>
    </w:rPr>
  </w:style>
  <w:style w:type="paragraph" w:styleId="59">
    <w:name w:val="List Paragraph"/>
    <w:basedOn w:val="1"/>
    <w:autoRedefine/>
    <w:qFormat/>
    <w:uiPriority w:val="34"/>
    <w:pPr>
      <w:ind w:firstLine="420" w:firstLineChars="200"/>
    </w:pPr>
  </w:style>
  <w:style w:type="paragraph" w:customStyle="1" w:styleId="60">
    <w:name w:val="正文首行缩进两字符"/>
    <w:basedOn w:val="1"/>
    <w:autoRedefine/>
    <w:qFormat/>
    <w:uiPriority w:val="0"/>
    <w:pPr>
      <w:spacing w:line="360" w:lineRule="auto"/>
      <w:ind w:firstLine="200" w:firstLineChars="200"/>
    </w:pPr>
  </w:style>
  <w:style w:type="paragraph" w:customStyle="1" w:styleId="61">
    <w:name w:val="Table Text"/>
    <w:basedOn w:val="1"/>
    <w:next w:val="52"/>
    <w:autoRedefine/>
    <w:qFormat/>
    <w:uiPriority w:val="0"/>
    <w:pPr>
      <w:widowControl/>
      <w:spacing w:before="60" w:after="60"/>
    </w:pPr>
    <w:rPr>
      <w:rFonts w:ascii="宋体"/>
    </w:rPr>
  </w:style>
  <w:style w:type="paragraph" w:customStyle="1" w:styleId="62">
    <w:name w:val="样式 首行缩进:  2 字符"/>
    <w:basedOn w:val="1"/>
    <w:autoRedefine/>
    <w:qFormat/>
    <w:uiPriority w:val="0"/>
    <w:pPr>
      <w:spacing w:line="400" w:lineRule="exact"/>
      <w:ind w:firstLine="200" w:firstLineChars="200"/>
    </w:pPr>
    <w:rPr>
      <w:rFonts w:cs="宋体"/>
      <w:sz w:val="24"/>
    </w:rPr>
  </w:style>
  <w:style w:type="paragraph" w:customStyle="1" w:styleId="63">
    <w:name w:val="_Style 6"/>
    <w:basedOn w:val="2"/>
    <w:next w:val="1"/>
    <w:autoRedefine/>
    <w:qFormat/>
    <w:uiPriority w:val="0"/>
    <w:pPr>
      <w:outlineLvl w:val="9"/>
    </w:pPr>
  </w:style>
  <w:style w:type="paragraph" w:customStyle="1" w:styleId="64">
    <w:name w:val="Char Char Char Char"/>
    <w:basedOn w:val="1"/>
    <w:autoRedefine/>
    <w:qFormat/>
    <w:uiPriority w:val="0"/>
  </w:style>
  <w:style w:type="paragraph" w:customStyle="1" w:styleId="65">
    <w:name w:val="Default"/>
    <w:next w:val="61"/>
    <w:autoRedefine/>
    <w:qFormat/>
    <w:uiPriority w:val="0"/>
    <w:pPr>
      <w:widowControl w:val="0"/>
      <w:autoSpaceDE w:val="0"/>
      <w:autoSpaceDN w:val="0"/>
    </w:pPr>
    <w:rPr>
      <w:rFonts w:ascii="楷体" w:hAnsi="Times New Roman" w:eastAsia="楷体" w:cs="Times New Roman"/>
      <w:color w:val="000000"/>
      <w:sz w:val="24"/>
      <w:szCs w:val="22"/>
      <w:lang w:val="en-US" w:eastAsia="zh-CN" w:bidi="ar-SA"/>
    </w:rPr>
  </w:style>
  <w:style w:type="paragraph" w:customStyle="1" w:styleId="66">
    <w:name w:val="p0"/>
    <w:basedOn w:val="1"/>
    <w:autoRedefine/>
    <w:qFormat/>
    <w:uiPriority w:val="0"/>
    <w:pPr>
      <w:widowControl/>
    </w:pPr>
    <w:rPr>
      <w:rFonts w:hint="eastAsia"/>
      <w:szCs w:val="20"/>
    </w:rPr>
  </w:style>
  <w:style w:type="character" w:customStyle="1" w:styleId="67">
    <w:name w:val="脚注文本 字符"/>
    <w:link w:val="22"/>
    <w:autoRedefine/>
    <w:qFormat/>
    <w:uiPriority w:val="0"/>
    <w:rPr>
      <w:rFonts w:ascii="Calibri" w:hAnsi="Calibri"/>
      <w:kern w:val="2"/>
      <w:sz w:val="18"/>
    </w:rPr>
  </w:style>
  <w:style w:type="character" w:customStyle="1" w:styleId="68">
    <w:name w:val="脚注文本 字符1"/>
    <w:autoRedefine/>
    <w:qFormat/>
    <w:uiPriority w:val="0"/>
    <w:rPr>
      <w:rFonts w:ascii="Times New Roman" w:hAnsi="Times New Roman" w:eastAsia="宋体" w:cs="Times New Roman"/>
      <w:kern w:val="2"/>
      <w:sz w:val="18"/>
      <w:szCs w:val="18"/>
    </w:rPr>
  </w:style>
  <w:style w:type="character" w:customStyle="1" w:styleId="69">
    <w:name w:val="标题 2 字符"/>
    <w:link w:val="3"/>
    <w:autoRedefine/>
    <w:qFormat/>
    <w:uiPriority w:val="0"/>
    <w:rPr>
      <w:rFonts w:ascii="仿宋_GB2312" w:hAnsi="宋体" w:eastAsia="仿宋_GB2312"/>
      <w:kern w:val="2"/>
      <w:sz w:val="32"/>
      <w:szCs w:val="24"/>
    </w:rPr>
  </w:style>
  <w:style w:type="paragraph" w:customStyle="1" w:styleId="70">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73BBF-C388-40EF-8933-4C1D02A4765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8924</Words>
  <Characters>9453</Characters>
  <Lines>114</Lines>
  <Paragraphs>32</Paragraphs>
  <TotalTime>4</TotalTime>
  <ScaleCrop>false</ScaleCrop>
  <LinksUpToDate>false</LinksUpToDate>
  <CharactersWithSpaces>9902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2021-09-06T08:38:00Z</dcterms:created>
  <dc:creator>cjzx</dc:creator>
  <cp:lastModifiedBy>CYZEE</cp:lastModifiedBy>
  <cp:lastPrinted>2024-01-25T14:38:00Z</cp:lastPrinted>
  <dcterms:modified xsi:type="dcterms:W3CDTF">2025-08-01T01:18:32Z</dcterms:modified>
  <dc:title>设计比选邀请书</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E8CA482EE02342FCA987B07DC79FF52F_13</vt:lpwstr>
  </property>
  <property fmtid="{D5CDD505-2E9C-101B-9397-08002B2CF9AE}" pid="4" name="KSOTemplateDocerSaveRecord">
    <vt:lpwstr>eyJoZGlkIjoiMWYzMjlkMTk0ZDk3MzRlZjQ2Y2QxNzdmZGI5NjdkZTciLCJ1c2VySWQiOiIxNTcyMDg2NDEzIn0=</vt:lpwstr>
  </property>
</Properties>
</file>