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45BE0A">
      <w:pPr>
        <w:rPr>
          <w:rFonts w:hint="eastAsia" w:ascii="仿宋_GB2312" w:hAnsi="仿宋_GB2312" w:eastAsia="仿宋_GB2312" w:cs="仿宋_GB2312"/>
          <w:sz w:val="32"/>
          <w:szCs w:val="32"/>
        </w:rPr>
      </w:pPr>
      <w:bookmarkStart w:id="34" w:name="_GoBack"/>
      <w:bookmarkEnd w:id="34"/>
      <w:r>
        <w:rPr>
          <w:rFonts w:hint="eastAsia" w:ascii="仿宋_GB2312" w:hAnsi="仿宋_GB2312" w:eastAsia="仿宋_GB2312" w:cs="仿宋_GB2312"/>
          <w:sz w:val="32"/>
          <w:szCs w:val="32"/>
        </w:rPr>
        <w:t>附件：</w:t>
      </w:r>
    </w:p>
    <w:p w14:paraId="32986A43">
      <w:pPr>
        <w:rPr>
          <w:rFonts w:hint="eastAsia" w:ascii="仿宋_GB2312" w:hAnsi="仿宋_GB2312" w:eastAsia="仿宋_GB2312" w:cs="仿宋_GB2312"/>
          <w:sz w:val="32"/>
          <w:szCs w:val="32"/>
        </w:rPr>
      </w:pPr>
    </w:p>
    <w:p w14:paraId="1C316415">
      <w:pPr>
        <w:jc w:val="center"/>
        <w:outlineLvl w:val="0"/>
        <w:rPr>
          <w:rFonts w:hint="eastAsia" w:ascii="方正小标宋简体" w:hAnsi="方正小标宋简体" w:eastAsia="方正小标宋简体" w:cs="方正小标宋简体"/>
          <w:sz w:val="44"/>
          <w:szCs w:val="52"/>
        </w:rPr>
      </w:pPr>
      <w:bookmarkStart w:id="0" w:name="_Toc12106"/>
      <w:bookmarkStart w:id="1" w:name="_Toc13096"/>
      <w:r>
        <w:rPr>
          <w:rFonts w:hint="eastAsia" w:ascii="方正小标宋简体" w:hAnsi="方正小标宋简体" w:eastAsia="方正小标宋简体" w:cs="方正小标宋简体"/>
          <w:sz w:val="44"/>
          <w:szCs w:val="52"/>
        </w:rPr>
        <w:t>海南</w:t>
      </w:r>
      <w:bookmarkEnd w:id="0"/>
      <w:bookmarkEnd w:id="1"/>
      <w:r>
        <w:rPr>
          <w:rFonts w:hint="eastAsia" w:ascii="方正小标宋简体" w:hAnsi="方正小标宋简体" w:eastAsia="方正小标宋简体" w:cs="方正小标宋简体"/>
          <w:sz w:val="44"/>
          <w:szCs w:val="52"/>
        </w:rPr>
        <w:t>华琨实业开发有限公司</w:t>
      </w:r>
    </w:p>
    <w:p w14:paraId="2DD94801">
      <w:pPr>
        <w:jc w:val="center"/>
        <w:outlineLvl w:val="0"/>
        <w:rPr>
          <w:rFonts w:hint="eastAsia" w:ascii="方正小标宋简体" w:hAnsi="方正小标宋简体" w:eastAsia="方正小标宋简体" w:cs="方正小标宋简体"/>
          <w:sz w:val="44"/>
          <w:szCs w:val="52"/>
        </w:rPr>
      </w:pPr>
      <w:bookmarkStart w:id="2" w:name="_Toc3610"/>
      <w:bookmarkStart w:id="3" w:name="_Toc1250"/>
      <w:r>
        <w:rPr>
          <w:rFonts w:hint="eastAsia" w:ascii="方正小标宋简体" w:hAnsi="方正小标宋简体" w:eastAsia="方正小标宋简体" w:cs="方正小标宋简体"/>
          <w:sz w:val="44"/>
          <w:szCs w:val="52"/>
        </w:rPr>
        <w:t>公开比选常年法律顾问</w:t>
      </w:r>
      <w:bookmarkEnd w:id="2"/>
      <w:r>
        <w:rPr>
          <w:rFonts w:hint="eastAsia" w:ascii="方正小标宋简体" w:hAnsi="方正小标宋简体" w:eastAsia="方正小标宋简体" w:cs="方正小标宋简体"/>
          <w:sz w:val="44"/>
          <w:szCs w:val="52"/>
        </w:rPr>
        <w:t>项目</w:t>
      </w:r>
      <w:bookmarkEnd w:id="3"/>
    </w:p>
    <w:p w14:paraId="03AC280E">
      <w:pPr>
        <w:rPr>
          <w:rFonts w:hint="eastAsia" w:ascii="仿宋_GB2312" w:hAnsi="仿宋_GB2312" w:eastAsia="仿宋_GB2312" w:cs="仿宋_GB2312"/>
          <w:sz w:val="32"/>
          <w:szCs w:val="32"/>
        </w:rPr>
      </w:pPr>
    </w:p>
    <w:p w14:paraId="7E8964D1">
      <w:pPr>
        <w:rPr>
          <w:rFonts w:hint="eastAsia" w:ascii="仿宋_GB2312" w:hAnsi="仿宋_GB2312" w:eastAsia="仿宋_GB2312" w:cs="仿宋_GB2312"/>
          <w:sz w:val="32"/>
          <w:szCs w:val="32"/>
        </w:rPr>
      </w:pPr>
    </w:p>
    <w:p w14:paraId="77EDADEB">
      <w:pPr>
        <w:jc w:val="center"/>
        <w:rPr>
          <w:rFonts w:hint="eastAsia" w:ascii="方正小标宋简体" w:hAnsi="方正小标宋简体" w:eastAsia="方正小标宋简体" w:cs="方正小标宋简体"/>
          <w:sz w:val="96"/>
          <w:szCs w:val="96"/>
        </w:rPr>
      </w:pPr>
      <w:r>
        <w:rPr>
          <w:rFonts w:hint="eastAsia" w:ascii="方正小标宋简体" w:hAnsi="方正小标宋简体" w:eastAsia="方正小标宋简体" w:cs="方正小标宋简体"/>
          <w:sz w:val="96"/>
          <w:szCs w:val="96"/>
        </w:rPr>
        <w:t>比</w:t>
      </w:r>
    </w:p>
    <w:p w14:paraId="74360448">
      <w:pPr>
        <w:jc w:val="center"/>
        <w:rPr>
          <w:rFonts w:hint="eastAsia" w:ascii="方正小标宋简体" w:hAnsi="方正小标宋简体" w:eastAsia="方正小标宋简体" w:cs="方正小标宋简体"/>
          <w:sz w:val="96"/>
          <w:szCs w:val="96"/>
        </w:rPr>
      </w:pPr>
      <w:r>
        <w:rPr>
          <w:rFonts w:hint="eastAsia" w:ascii="方正小标宋简体" w:hAnsi="方正小标宋简体" w:eastAsia="方正小标宋简体" w:cs="方正小标宋简体"/>
          <w:sz w:val="96"/>
          <w:szCs w:val="96"/>
        </w:rPr>
        <w:t>选</w:t>
      </w:r>
    </w:p>
    <w:p w14:paraId="574F3E5C">
      <w:pPr>
        <w:jc w:val="center"/>
        <w:rPr>
          <w:rFonts w:hint="eastAsia" w:ascii="方正小标宋简体" w:hAnsi="方正小标宋简体" w:eastAsia="方正小标宋简体" w:cs="方正小标宋简体"/>
          <w:sz w:val="96"/>
          <w:szCs w:val="96"/>
        </w:rPr>
      </w:pPr>
      <w:r>
        <w:rPr>
          <w:rFonts w:hint="eastAsia" w:ascii="方正小标宋简体" w:hAnsi="方正小标宋简体" w:eastAsia="方正小标宋简体" w:cs="方正小标宋简体"/>
          <w:sz w:val="96"/>
          <w:szCs w:val="96"/>
        </w:rPr>
        <w:t>文</w:t>
      </w:r>
    </w:p>
    <w:p w14:paraId="1618212C">
      <w:pPr>
        <w:jc w:val="center"/>
        <w:outlineLvl w:val="0"/>
        <w:rPr>
          <w:rFonts w:hint="eastAsia" w:ascii="方正小标宋简体" w:hAnsi="方正小标宋简体" w:eastAsia="方正小标宋简体" w:cs="方正小标宋简体"/>
          <w:sz w:val="96"/>
          <w:szCs w:val="96"/>
        </w:rPr>
      </w:pPr>
      <w:bookmarkStart w:id="4" w:name="_Toc22705"/>
      <w:bookmarkStart w:id="5" w:name="_Toc8767"/>
      <w:r>
        <w:rPr>
          <w:rFonts w:hint="eastAsia" w:ascii="方正小标宋简体" w:hAnsi="方正小标宋简体" w:eastAsia="方正小标宋简体" w:cs="方正小标宋简体"/>
          <w:sz w:val="96"/>
          <w:szCs w:val="96"/>
        </w:rPr>
        <w:t>件</w:t>
      </w:r>
      <w:bookmarkEnd w:id="4"/>
      <w:bookmarkEnd w:id="5"/>
    </w:p>
    <w:p w14:paraId="36BD4EFB">
      <w:pPr>
        <w:rPr>
          <w:rFonts w:hint="eastAsia" w:ascii="仿宋_GB2312" w:hAnsi="仿宋_GB2312" w:eastAsia="仿宋_GB2312" w:cs="仿宋_GB2312"/>
          <w:sz w:val="32"/>
          <w:szCs w:val="32"/>
        </w:rPr>
      </w:pPr>
    </w:p>
    <w:p w14:paraId="178BBD4A">
      <w:pPr>
        <w:rPr>
          <w:rFonts w:hint="eastAsia" w:ascii="仿宋_GB2312" w:hAnsi="仿宋_GB2312" w:eastAsia="仿宋_GB2312" w:cs="仿宋_GB2312"/>
          <w:sz w:val="32"/>
          <w:szCs w:val="32"/>
        </w:rPr>
      </w:pPr>
    </w:p>
    <w:p w14:paraId="66E98C02">
      <w:pPr>
        <w:ind w:firstLine="1280" w:firstLineChars="400"/>
        <w:outlineLvl w:val="0"/>
        <w:rPr>
          <w:rFonts w:hint="eastAsia" w:ascii="黑体" w:hAnsi="黑体" w:eastAsia="黑体" w:cs="黑体"/>
          <w:sz w:val="32"/>
          <w:szCs w:val="32"/>
          <w:u w:val="single"/>
        </w:rPr>
      </w:pPr>
      <w:bookmarkStart w:id="6" w:name="_Toc22368"/>
      <w:bookmarkStart w:id="7" w:name="_Toc2296"/>
      <w:r>
        <w:rPr>
          <w:rFonts w:hint="eastAsia" w:ascii="黑体" w:hAnsi="黑体" w:eastAsia="黑体" w:cs="黑体"/>
          <w:sz w:val="32"/>
          <w:szCs w:val="32"/>
        </w:rPr>
        <w:t>采 购 人：</w:t>
      </w:r>
      <w:r>
        <w:rPr>
          <w:rFonts w:hint="eastAsia" w:ascii="黑体" w:hAnsi="黑体" w:eastAsia="黑体" w:cs="黑体"/>
          <w:sz w:val="32"/>
          <w:szCs w:val="32"/>
          <w:u w:val="single"/>
        </w:rPr>
        <w:t>海南</w:t>
      </w:r>
      <w:bookmarkEnd w:id="6"/>
      <w:bookmarkEnd w:id="7"/>
      <w:r>
        <w:rPr>
          <w:rFonts w:hint="eastAsia" w:ascii="黑体" w:hAnsi="黑体" w:eastAsia="黑体" w:cs="黑体"/>
          <w:sz w:val="32"/>
          <w:szCs w:val="32"/>
          <w:u w:val="single"/>
        </w:rPr>
        <w:t>华琨实业开发有限公司</w:t>
      </w:r>
    </w:p>
    <w:p w14:paraId="28AD178C">
      <w:pPr>
        <w:ind w:firstLine="1280" w:firstLineChars="400"/>
        <w:rPr>
          <w:rFonts w:hint="eastAsia" w:ascii="黑体" w:hAnsi="黑体" w:eastAsia="黑体" w:cs="黑体"/>
          <w:sz w:val="32"/>
          <w:szCs w:val="32"/>
          <w:u w:val="single"/>
        </w:rPr>
      </w:pPr>
      <w:r>
        <w:rPr>
          <w:rFonts w:hint="eastAsia" w:ascii="黑体" w:hAnsi="黑体" w:eastAsia="黑体" w:cs="黑体"/>
          <w:sz w:val="32"/>
          <w:szCs w:val="32"/>
        </w:rPr>
        <w:t>采购日期：</w:t>
      </w:r>
      <w:r>
        <w:rPr>
          <w:rFonts w:hint="eastAsia" w:ascii="黑体" w:hAnsi="黑体" w:eastAsia="黑体" w:cs="黑体"/>
          <w:sz w:val="32"/>
          <w:szCs w:val="32"/>
          <w:u w:val="single"/>
        </w:rPr>
        <w:t xml:space="preserve">    2026年4月10日     </w:t>
      </w:r>
    </w:p>
    <w:p w14:paraId="136D2224">
      <w:pPr>
        <w:ind w:firstLine="1280" w:firstLineChars="400"/>
        <w:rPr>
          <w:rFonts w:hint="eastAsia" w:ascii="黑体" w:hAnsi="黑体" w:eastAsia="黑体" w:cs="黑体"/>
          <w:sz w:val="32"/>
          <w:szCs w:val="32"/>
          <w:u w:val="single"/>
        </w:rPr>
        <w:sectPr>
          <w:headerReference r:id="rId3" w:type="default"/>
          <w:pgSz w:w="11906" w:h="16838"/>
          <w:pgMar w:top="1440" w:right="1800" w:bottom="1440" w:left="1800" w:header="851" w:footer="992" w:gutter="0"/>
          <w:pgNumType w:start="1"/>
          <w:cols w:space="720" w:num="1"/>
          <w:docGrid w:type="lines" w:linePitch="312" w:charSpace="0"/>
        </w:sectPr>
      </w:pPr>
    </w:p>
    <w:p w14:paraId="5CC36F1B">
      <w:pPr>
        <w:spacing w:line="360" w:lineRule="auto"/>
        <w:rPr>
          <w:rFonts w:hint="eastAsia" w:ascii="仿宋_GB2312" w:hAnsi="仿宋_GB2312" w:eastAsia="仿宋_GB2312" w:cs="仿宋_GB2312"/>
          <w:sz w:val="32"/>
          <w:szCs w:val="32"/>
        </w:rPr>
      </w:pPr>
    </w:p>
    <w:p w14:paraId="508A4935">
      <w:pPr>
        <w:spacing w:line="360" w:lineRule="auto"/>
        <w:rPr>
          <w:rFonts w:hint="eastAsia" w:ascii="仿宋_GB2312" w:hAnsi="仿宋_GB2312" w:eastAsia="仿宋_GB2312" w:cs="仿宋_GB2312"/>
          <w:sz w:val="32"/>
          <w:szCs w:val="32"/>
        </w:rPr>
      </w:pPr>
    </w:p>
    <w:sdt>
      <w:sdtPr>
        <w:rPr>
          <w:rFonts w:hint="eastAsia" w:ascii="黑体" w:hAnsi="黑体" w:eastAsia="黑体" w:cs="黑体"/>
          <w:b w:val="0"/>
          <w:kern w:val="2"/>
          <w:sz w:val="44"/>
          <w:szCs w:val="44"/>
        </w:rPr>
        <w:id w:val="147475105"/>
        <w15:color w:val="DBDBDB"/>
        <w:docPartObj>
          <w:docPartGallery w:val="Table of Contents"/>
          <w:docPartUnique/>
        </w:docPartObj>
      </w:sdtPr>
      <w:sdtEndPr>
        <w:rPr>
          <w:rFonts w:hint="eastAsia" w:ascii="黑体" w:hAnsi="黑体" w:eastAsia="黑体" w:cs="黑体"/>
          <w:b w:val="0"/>
          <w:kern w:val="2"/>
          <w:sz w:val="32"/>
          <w:szCs w:val="32"/>
        </w:rPr>
      </w:sdtEndPr>
      <w:sdtContent>
        <w:p w14:paraId="64274D65">
          <w:pPr>
            <w:pStyle w:val="58"/>
            <w:widowControl w:val="0"/>
            <w:tabs>
              <w:tab w:val="center" w:pos="4880"/>
              <w:tab w:val="left" w:pos="6123"/>
            </w:tabs>
            <w:wordWrap w:val="0"/>
            <w:overflowPunct w:val="0"/>
            <w:spacing w:before="312" w:beforeLines="100" w:after="312" w:afterLines="100" w:line="480" w:lineRule="auto"/>
            <w:rPr>
              <w:rFonts w:hint="eastAsia" w:ascii="黑体" w:hAnsi="黑体" w:eastAsia="黑体" w:cs="黑体"/>
              <w:sz w:val="44"/>
              <w:szCs w:val="44"/>
            </w:rPr>
          </w:pPr>
          <w:bookmarkStart w:id="8" w:name="_Hlk81810315"/>
          <w:bookmarkStart w:id="9" w:name="_Toc5819"/>
          <w:r>
            <w:rPr>
              <w:rFonts w:hint="eastAsia" w:ascii="黑体" w:hAnsi="黑体" w:eastAsia="黑体" w:cs="黑体"/>
              <w:b w:val="0"/>
              <w:kern w:val="2"/>
              <w:sz w:val="44"/>
              <w:szCs w:val="44"/>
            </w:rPr>
            <w:t>目  录</w:t>
          </w:r>
        </w:p>
        <w:p w14:paraId="52D0FF0C">
          <w:pPr>
            <w:pStyle w:val="21"/>
            <w:tabs>
              <w:tab w:val="right" w:leader="dot" w:pos="8306"/>
            </w:tabs>
            <w:rPr>
              <w:rFonts w:hint="eastAsia" w:ascii="黑体" w:hAnsi="黑体" w:eastAsia="黑体" w:cs="黑体"/>
              <w:b w:val="0"/>
              <w:bCs w:val="0"/>
              <w:i w:val="0"/>
              <w:iCs w:val="0"/>
              <w:sz w:val="32"/>
              <w:szCs w:val="32"/>
            </w:rPr>
          </w:pPr>
          <w:r>
            <w:rPr>
              <w:rFonts w:hint="eastAsia" w:ascii="黑体" w:hAnsi="黑体" w:eastAsia="黑体" w:cs="黑体"/>
              <w:b w:val="0"/>
              <w:bCs w:val="0"/>
              <w:i w:val="0"/>
              <w:iCs w:val="0"/>
              <w:sz w:val="32"/>
              <w:szCs w:val="32"/>
            </w:rPr>
            <w:fldChar w:fldCharType="begin"/>
          </w:r>
          <w:r>
            <w:rPr>
              <w:rFonts w:hint="eastAsia" w:ascii="黑体" w:hAnsi="黑体" w:eastAsia="黑体" w:cs="黑体"/>
              <w:b w:val="0"/>
              <w:bCs w:val="0"/>
              <w:i w:val="0"/>
              <w:iCs w:val="0"/>
              <w:sz w:val="32"/>
              <w:szCs w:val="32"/>
            </w:rPr>
            <w:instrText xml:space="preserve">TOC \o "1-1" \h \u </w:instrText>
          </w:r>
          <w:r>
            <w:rPr>
              <w:rFonts w:hint="eastAsia" w:ascii="黑体" w:hAnsi="黑体" w:eastAsia="黑体" w:cs="黑体"/>
              <w:b w:val="0"/>
              <w:bCs w:val="0"/>
              <w:i w:val="0"/>
              <w:iCs w:val="0"/>
              <w:sz w:val="32"/>
              <w:szCs w:val="32"/>
            </w:rPr>
            <w:fldChar w:fldCharType="separate"/>
          </w:r>
        </w:p>
        <w:p w14:paraId="36D543A8">
          <w:pPr>
            <w:pStyle w:val="21"/>
            <w:tabs>
              <w:tab w:val="right" w:leader="dot" w:pos="8306"/>
            </w:tabs>
            <w:rPr>
              <w:rFonts w:hint="eastAsia" w:ascii="黑体" w:hAnsi="黑体" w:eastAsia="黑体" w:cs="黑体"/>
              <w:b w:val="0"/>
              <w:bCs w:val="0"/>
              <w:i w:val="0"/>
              <w:iCs w:val="0"/>
              <w:sz w:val="32"/>
              <w:szCs w:val="32"/>
            </w:rPr>
          </w:pPr>
          <w:r>
            <w:fldChar w:fldCharType="begin"/>
          </w:r>
          <w:r>
            <w:instrText xml:space="preserve"> HYPERLINK \l "_Toc29966" </w:instrText>
          </w:r>
          <w:r>
            <w:fldChar w:fldCharType="separate"/>
          </w:r>
          <w:r>
            <w:rPr>
              <w:rFonts w:hint="eastAsia" w:ascii="黑体" w:hAnsi="黑体" w:eastAsia="黑体" w:cs="黑体"/>
              <w:b w:val="0"/>
              <w:bCs w:val="0"/>
              <w:i w:val="0"/>
              <w:iCs w:val="0"/>
              <w:sz w:val="32"/>
              <w:szCs w:val="32"/>
            </w:rPr>
            <w:t>第一章 采购公告</w:t>
          </w:r>
          <w:r>
            <w:rPr>
              <w:rFonts w:hint="eastAsia" w:ascii="黑体" w:hAnsi="黑体" w:eastAsia="黑体" w:cs="黑体"/>
              <w:b w:val="0"/>
              <w:bCs w:val="0"/>
              <w:i w:val="0"/>
              <w:iCs w:val="0"/>
              <w:sz w:val="32"/>
              <w:szCs w:val="32"/>
            </w:rPr>
            <w:tab/>
          </w:r>
          <w:r>
            <w:rPr>
              <w:rFonts w:hint="eastAsia" w:ascii="黑体" w:hAnsi="黑体" w:eastAsia="黑体" w:cs="黑体"/>
              <w:b w:val="0"/>
              <w:bCs w:val="0"/>
              <w:i w:val="0"/>
              <w:iCs w:val="0"/>
              <w:sz w:val="32"/>
              <w:szCs w:val="32"/>
            </w:rPr>
            <w:fldChar w:fldCharType="begin"/>
          </w:r>
          <w:r>
            <w:rPr>
              <w:rFonts w:hint="eastAsia" w:ascii="黑体" w:hAnsi="黑体" w:eastAsia="黑体" w:cs="黑体"/>
              <w:b w:val="0"/>
              <w:bCs w:val="0"/>
              <w:i w:val="0"/>
              <w:iCs w:val="0"/>
              <w:sz w:val="32"/>
              <w:szCs w:val="32"/>
            </w:rPr>
            <w:instrText xml:space="preserve"> PAGEREF _Toc29966 \h </w:instrText>
          </w:r>
          <w:r>
            <w:rPr>
              <w:rFonts w:hint="eastAsia" w:ascii="黑体" w:hAnsi="黑体" w:eastAsia="黑体" w:cs="黑体"/>
              <w:b w:val="0"/>
              <w:bCs w:val="0"/>
              <w:i w:val="0"/>
              <w:iCs w:val="0"/>
              <w:sz w:val="32"/>
              <w:szCs w:val="32"/>
            </w:rPr>
            <w:fldChar w:fldCharType="separate"/>
          </w:r>
          <w:r>
            <w:rPr>
              <w:rFonts w:hint="eastAsia" w:ascii="黑体" w:hAnsi="黑体" w:eastAsia="黑体" w:cs="黑体"/>
              <w:b w:val="0"/>
              <w:bCs w:val="0"/>
              <w:i w:val="0"/>
              <w:iCs w:val="0"/>
              <w:sz w:val="32"/>
              <w:szCs w:val="32"/>
            </w:rPr>
            <w:t>- 1 -</w:t>
          </w:r>
          <w:r>
            <w:rPr>
              <w:rFonts w:hint="eastAsia" w:ascii="黑体" w:hAnsi="黑体" w:eastAsia="黑体" w:cs="黑体"/>
              <w:b w:val="0"/>
              <w:bCs w:val="0"/>
              <w:i w:val="0"/>
              <w:iCs w:val="0"/>
              <w:sz w:val="32"/>
              <w:szCs w:val="32"/>
            </w:rPr>
            <w:fldChar w:fldCharType="end"/>
          </w:r>
          <w:r>
            <w:rPr>
              <w:rFonts w:hint="eastAsia" w:ascii="黑体" w:hAnsi="黑体" w:eastAsia="黑体" w:cs="黑体"/>
              <w:b w:val="0"/>
              <w:bCs w:val="0"/>
              <w:i w:val="0"/>
              <w:iCs w:val="0"/>
              <w:sz w:val="32"/>
              <w:szCs w:val="32"/>
            </w:rPr>
            <w:fldChar w:fldCharType="end"/>
          </w:r>
        </w:p>
        <w:p w14:paraId="2E9144C5">
          <w:pPr>
            <w:pStyle w:val="21"/>
            <w:tabs>
              <w:tab w:val="right" w:leader="dot" w:pos="8306"/>
            </w:tabs>
            <w:rPr>
              <w:rFonts w:hint="eastAsia" w:ascii="黑体" w:hAnsi="黑体" w:eastAsia="黑体" w:cs="黑体"/>
              <w:b w:val="0"/>
              <w:bCs w:val="0"/>
              <w:i w:val="0"/>
              <w:iCs w:val="0"/>
              <w:sz w:val="32"/>
              <w:szCs w:val="32"/>
            </w:rPr>
          </w:pPr>
          <w:r>
            <w:fldChar w:fldCharType="begin"/>
          </w:r>
          <w:r>
            <w:instrText xml:space="preserve"> HYPERLINK \l "_Toc31223" </w:instrText>
          </w:r>
          <w:r>
            <w:fldChar w:fldCharType="separate"/>
          </w:r>
          <w:r>
            <w:rPr>
              <w:rFonts w:hint="eastAsia" w:ascii="黑体" w:hAnsi="黑体" w:eastAsia="黑体" w:cs="黑体"/>
              <w:b w:val="0"/>
              <w:bCs w:val="0"/>
              <w:i w:val="0"/>
              <w:iCs w:val="0"/>
              <w:sz w:val="32"/>
              <w:szCs w:val="32"/>
            </w:rPr>
            <w:t>第二章 参选须知</w:t>
          </w:r>
          <w:r>
            <w:rPr>
              <w:rFonts w:hint="eastAsia" w:ascii="黑体" w:hAnsi="黑体" w:eastAsia="黑体" w:cs="黑体"/>
              <w:b w:val="0"/>
              <w:bCs w:val="0"/>
              <w:i w:val="0"/>
              <w:iCs w:val="0"/>
              <w:sz w:val="32"/>
              <w:szCs w:val="32"/>
            </w:rPr>
            <w:tab/>
          </w:r>
          <w:r>
            <w:rPr>
              <w:rFonts w:hint="eastAsia" w:ascii="黑体" w:hAnsi="黑体" w:eastAsia="黑体" w:cs="黑体"/>
              <w:b w:val="0"/>
              <w:bCs w:val="0"/>
              <w:i w:val="0"/>
              <w:iCs w:val="0"/>
              <w:sz w:val="32"/>
              <w:szCs w:val="32"/>
            </w:rPr>
            <w:fldChar w:fldCharType="begin"/>
          </w:r>
          <w:r>
            <w:rPr>
              <w:rFonts w:hint="eastAsia" w:ascii="黑体" w:hAnsi="黑体" w:eastAsia="黑体" w:cs="黑体"/>
              <w:b w:val="0"/>
              <w:bCs w:val="0"/>
              <w:i w:val="0"/>
              <w:iCs w:val="0"/>
              <w:sz w:val="32"/>
              <w:szCs w:val="32"/>
            </w:rPr>
            <w:instrText xml:space="preserve"> PAGEREF _Toc31223 \h </w:instrText>
          </w:r>
          <w:r>
            <w:rPr>
              <w:rFonts w:hint="eastAsia" w:ascii="黑体" w:hAnsi="黑体" w:eastAsia="黑体" w:cs="黑体"/>
              <w:b w:val="0"/>
              <w:bCs w:val="0"/>
              <w:i w:val="0"/>
              <w:iCs w:val="0"/>
              <w:sz w:val="32"/>
              <w:szCs w:val="32"/>
            </w:rPr>
            <w:fldChar w:fldCharType="separate"/>
          </w:r>
          <w:r>
            <w:rPr>
              <w:rFonts w:hint="eastAsia" w:ascii="黑体" w:hAnsi="黑体" w:eastAsia="黑体" w:cs="黑体"/>
              <w:b w:val="0"/>
              <w:bCs w:val="0"/>
              <w:i w:val="0"/>
              <w:iCs w:val="0"/>
              <w:sz w:val="32"/>
              <w:szCs w:val="32"/>
            </w:rPr>
            <w:t>- 7 -</w:t>
          </w:r>
          <w:r>
            <w:rPr>
              <w:rFonts w:hint="eastAsia" w:ascii="黑体" w:hAnsi="黑体" w:eastAsia="黑体" w:cs="黑体"/>
              <w:b w:val="0"/>
              <w:bCs w:val="0"/>
              <w:i w:val="0"/>
              <w:iCs w:val="0"/>
              <w:sz w:val="32"/>
              <w:szCs w:val="32"/>
            </w:rPr>
            <w:fldChar w:fldCharType="end"/>
          </w:r>
          <w:r>
            <w:rPr>
              <w:rFonts w:hint="eastAsia" w:ascii="黑体" w:hAnsi="黑体" w:eastAsia="黑体" w:cs="黑体"/>
              <w:b w:val="0"/>
              <w:bCs w:val="0"/>
              <w:i w:val="0"/>
              <w:iCs w:val="0"/>
              <w:sz w:val="32"/>
              <w:szCs w:val="32"/>
            </w:rPr>
            <w:fldChar w:fldCharType="end"/>
          </w:r>
        </w:p>
        <w:p w14:paraId="16081103">
          <w:pPr>
            <w:pStyle w:val="21"/>
            <w:tabs>
              <w:tab w:val="right" w:leader="dot" w:pos="8306"/>
            </w:tabs>
            <w:rPr>
              <w:rFonts w:hint="eastAsia" w:ascii="黑体" w:hAnsi="黑体" w:eastAsia="黑体" w:cs="黑体"/>
              <w:b w:val="0"/>
              <w:bCs w:val="0"/>
              <w:i w:val="0"/>
              <w:iCs w:val="0"/>
              <w:sz w:val="32"/>
              <w:szCs w:val="32"/>
            </w:rPr>
          </w:pPr>
          <w:r>
            <w:fldChar w:fldCharType="begin"/>
          </w:r>
          <w:r>
            <w:instrText xml:space="preserve"> HYPERLINK \l "_Toc20971" </w:instrText>
          </w:r>
          <w:r>
            <w:fldChar w:fldCharType="separate"/>
          </w:r>
          <w:r>
            <w:rPr>
              <w:rFonts w:hint="eastAsia" w:ascii="黑体" w:hAnsi="黑体" w:eastAsia="黑体" w:cs="黑体"/>
              <w:b w:val="0"/>
              <w:bCs w:val="0"/>
              <w:i w:val="0"/>
              <w:iCs w:val="0"/>
              <w:sz w:val="32"/>
              <w:szCs w:val="32"/>
            </w:rPr>
            <w:t>第三章 评审办法</w:t>
          </w:r>
          <w:r>
            <w:rPr>
              <w:rFonts w:hint="eastAsia" w:ascii="黑体" w:hAnsi="黑体" w:eastAsia="黑体" w:cs="黑体"/>
              <w:b w:val="0"/>
              <w:bCs w:val="0"/>
              <w:i w:val="0"/>
              <w:iCs w:val="0"/>
              <w:sz w:val="32"/>
              <w:szCs w:val="32"/>
            </w:rPr>
            <w:tab/>
          </w:r>
          <w:r>
            <w:rPr>
              <w:rFonts w:hint="eastAsia" w:ascii="黑体" w:hAnsi="黑体" w:eastAsia="黑体" w:cs="黑体"/>
              <w:b w:val="0"/>
              <w:bCs w:val="0"/>
              <w:i w:val="0"/>
              <w:iCs w:val="0"/>
              <w:sz w:val="32"/>
              <w:szCs w:val="32"/>
            </w:rPr>
            <w:fldChar w:fldCharType="begin"/>
          </w:r>
          <w:r>
            <w:rPr>
              <w:rFonts w:hint="eastAsia" w:ascii="黑体" w:hAnsi="黑体" w:eastAsia="黑体" w:cs="黑体"/>
              <w:b w:val="0"/>
              <w:bCs w:val="0"/>
              <w:i w:val="0"/>
              <w:iCs w:val="0"/>
              <w:sz w:val="32"/>
              <w:szCs w:val="32"/>
            </w:rPr>
            <w:instrText xml:space="preserve"> PAGEREF _Toc20971 \h </w:instrText>
          </w:r>
          <w:r>
            <w:rPr>
              <w:rFonts w:hint="eastAsia" w:ascii="黑体" w:hAnsi="黑体" w:eastAsia="黑体" w:cs="黑体"/>
              <w:b w:val="0"/>
              <w:bCs w:val="0"/>
              <w:i w:val="0"/>
              <w:iCs w:val="0"/>
              <w:sz w:val="32"/>
              <w:szCs w:val="32"/>
            </w:rPr>
            <w:fldChar w:fldCharType="separate"/>
          </w:r>
          <w:r>
            <w:rPr>
              <w:rFonts w:hint="eastAsia" w:ascii="黑体" w:hAnsi="黑体" w:eastAsia="黑体" w:cs="黑体"/>
              <w:b w:val="0"/>
              <w:bCs w:val="0"/>
              <w:i w:val="0"/>
              <w:iCs w:val="0"/>
              <w:sz w:val="32"/>
              <w:szCs w:val="32"/>
            </w:rPr>
            <w:t>- 12 -</w:t>
          </w:r>
          <w:r>
            <w:rPr>
              <w:rFonts w:hint="eastAsia" w:ascii="黑体" w:hAnsi="黑体" w:eastAsia="黑体" w:cs="黑体"/>
              <w:b w:val="0"/>
              <w:bCs w:val="0"/>
              <w:i w:val="0"/>
              <w:iCs w:val="0"/>
              <w:sz w:val="32"/>
              <w:szCs w:val="32"/>
            </w:rPr>
            <w:fldChar w:fldCharType="end"/>
          </w:r>
          <w:r>
            <w:rPr>
              <w:rFonts w:hint="eastAsia" w:ascii="黑体" w:hAnsi="黑体" w:eastAsia="黑体" w:cs="黑体"/>
              <w:b w:val="0"/>
              <w:bCs w:val="0"/>
              <w:i w:val="0"/>
              <w:iCs w:val="0"/>
              <w:sz w:val="32"/>
              <w:szCs w:val="32"/>
            </w:rPr>
            <w:fldChar w:fldCharType="end"/>
          </w:r>
        </w:p>
        <w:p w14:paraId="4E815297">
          <w:pPr>
            <w:pStyle w:val="21"/>
            <w:tabs>
              <w:tab w:val="right" w:leader="dot" w:pos="8306"/>
            </w:tabs>
            <w:rPr>
              <w:rFonts w:hint="eastAsia" w:ascii="黑体" w:hAnsi="黑体" w:eastAsia="黑体" w:cs="黑体"/>
              <w:b w:val="0"/>
              <w:bCs w:val="0"/>
              <w:i w:val="0"/>
              <w:iCs w:val="0"/>
              <w:sz w:val="32"/>
              <w:szCs w:val="32"/>
            </w:rPr>
          </w:pPr>
          <w:r>
            <w:fldChar w:fldCharType="begin"/>
          </w:r>
          <w:r>
            <w:instrText xml:space="preserve"> HYPERLINK \l "_Toc3953" </w:instrText>
          </w:r>
          <w:r>
            <w:fldChar w:fldCharType="separate"/>
          </w:r>
          <w:r>
            <w:rPr>
              <w:rFonts w:hint="eastAsia" w:ascii="黑体" w:hAnsi="黑体" w:eastAsia="黑体" w:cs="黑体"/>
              <w:b w:val="0"/>
              <w:bCs w:val="0"/>
              <w:i w:val="0"/>
              <w:iCs w:val="0"/>
              <w:sz w:val="32"/>
              <w:szCs w:val="32"/>
            </w:rPr>
            <w:t>第四章 服务合同文本</w:t>
          </w:r>
          <w:r>
            <w:rPr>
              <w:rFonts w:hint="eastAsia" w:ascii="黑体" w:hAnsi="黑体" w:eastAsia="黑体" w:cs="黑体"/>
              <w:b w:val="0"/>
              <w:bCs w:val="0"/>
              <w:i w:val="0"/>
              <w:iCs w:val="0"/>
              <w:sz w:val="32"/>
              <w:szCs w:val="32"/>
            </w:rPr>
            <w:tab/>
          </w:r>
          <w:r>
            <w:rPr>
              <w:rFonts w:hint="eastAsia" w:ascii="黑体" w:hAnsi="黑体" w:eastAsia="黑体" w:cs="黑体"/>
              <w:b w:val="0"/>
              <w:bCs w:val="0"/>
              <w:i w:val="0"/>
              <w:iCs w:val="0"/>
              <w:sz w:val="32"/>
              <w:szCs w:val="32"/>
            </w:rPr>
            <w:fldChar w:fldCharType="begin"/>
          </w:r>
          <w:r>
            <w:rPr>
              <w:rFonts w:hint="eastAsia" w:ascii="黑体" w:hAnsi="黑体" w:eastAsia="黑体" w:cs="黑体"/>
              <w:b w:val="0"/>
              <w:bCs w:val="0"/>
              <w:i w:val="0"/>
              <w:iCs w:val="0"/>
              <w:sz w:val="32"/>
              <w:szCs w:val="32"/>
            </w:rPr>
            <w:instrText xml:space="preserve"> PAGEREF _Toc3953 \h </w:instrText>
          </w:r>
          <w:r>
            <w:rPr>
              <w:rFonts w:hint="eastAsia" w:ascii="黑体" w:hAnsi="黑体" w:eastAsia="黑体" w:cs="黑体"/>
              <w:b w:val="0"/>
              <w:bCs w:val="0"/>
              <w:i w:val="0"/>
              <w:iCs w:val="0"/>
              <w:sz w:val="32"/>
              <w:szCs w:val="32"/>
            </w:rPr>
            <w:fldChar w:fldCharType="separate"/>
          </w:r>
          <w:r>
            <w:rPr>
              <w:rFonts w:hint="eastAsia" w:ascii="黑体" w:hAnsi="黑体" w:eastAsia="黑体" w:cs="黑体"/>
              <w:b w:val="0"/>
              <w:bCs w:val="0"/>
              <w:i w:val="0"/>
              <w:iCs w:val="0"/>
              <w:sz w:val="32"/>
              <w:szCs w:val="32"/>
            </w:rPr>
            <w:t>- 18 -</w:t>
          </w:r>
          <w:r>
            <w:rPr>
              <w:rFonts w:hint="eastAsia" w:ascii="黑体" w:hAnsi="黑体" w:eastAsia="黑体" w:cs="黑体"/>
              <w:b w:val="0"/>
              <w:bCs w:val="0"/>
              <w:i w:val="0"/>
              <w:iCs w:val="0"/>
              <w:sz w:val="32"/>
              <w:szCs w:val="32"/>
            </w:rPr>
            <w:fldChar w:fldCharType="end"/>
          </w:r>
          <w:r>
            <w:rPr>
              <w:rFonts w:hint="eastAsia" w:ascii="黑体" w:hAnsi="黑体" w:eastAsia="黑体" w:cs="黑体"/>
              <w:b w:val="0"/>
              <w:bCs w:val="0"/>
              <w:i w:val="0"/>
              <w:iCs w:val="0"/>
              <w:sz w:val="32"/>
              <w:szCs w:val="32"/>
            </w:rPr>
            <w:fldChar w:fldCharType="end"/>
          </w:r>
        </w:p>
        <w:p w14:paraId="524A5507">
          <w:pPr>
            <w:pStyle w:val="21"/>
            <w:tabs>
              <w:tab w:val="right" w:leader="dot" w:pos="8306"/>
            </w:tabs>
            <w:rPr>
              <w:rFonts w:hint="eastAsia" w:ascii="黑体" w:hAnsi="黑体" w:eastAsia="黑体" w:cs="黑体"/>
              <w:b w:val="0"/>
              <w:bCs w:val="0"/>
              <w:i w:val="0"/>
              <w:iCs w:val="0"/>
              <w:sz w:val="32"/>
              <w:szCs w:val="32"/>
            </w:rPr>
          </w:pPr>
          <w:r>
            <w:fldChar w:fldCharType="begin"/>
          </w:r>
          <w:r>
            <w:instrText xml:space="preserve"> HYPERLINK \l "_Toc23147" </w:instrText>
          </w:r>
          <w:r>
            <w:fldChar w:fldCharType="separate"/>
          </w:r>
          <w:r>
            <w:rPr>
              <w:rFonts w:hint="eastAsia" w:ascii="黑体" w:hAnsi="黑体" w:eastAsia="黑体" w:cs="黑体"/>
              <w:b w:val="0"/>
              <w:bCs w:val="0"/>
              <w:i w:val="0"/>
              <w:iCs w:val="0"/>
              <w:sz w:val="32"/>
              <w:szCs w:val="32"/>
            </w:rPr>
            <w:t>第五章 参选文件格式</w:t>
          </w:r>
          <w:r>
            <w:rPr>
              <w:rFonts w:hint="eastAsia" w:ascii="黑体" w:hAnsi="黑体" w:eastAsia="黑体" w:cs="黑体"/>
              <w:b w:val="0"/>
              <w:bCs w:val="0"/>
              <w:i w:val="0"/>
              <w:iCs w:val="0"/>
              <w:sz w:val="32"/>
              <w:szCs w:val="32"/>
            </w:rPr>
            <w:tab/>
          </w:r>
          <w:r>
            <w:rPr>
              <w:rFonts w:hint="eastAsia" w:ascii="黑体" w:hAnsi="黑体" w:eastAsia="黑体" w:cs="黑体"/>
              <w:b w:val="0"/>
              <w:bCs w:val="0"/>
              <w:i w:val="0"/>
              <w:iCs w:val="0"/>
              <w:sz w:val="32"/>
              <w:szCs w:val="32"/>
            </w:rPr>
            <w:fldChar w:fldCharType="begin"/>
          </w:r>
          <w:r>
            <w:rPr>
              <w:rFonts w:hint="eastAsia" w:ascii="黑体" w:hAnsi="黑体" w:eastAsia="黑体" w:cs="黑体"/>
              <w:b w:val="0"/>
              <w:bCs w:val="0"/>
              <w:i w:val="0"/>
              <w:iCs w:val="0"/>
              <w:sz w:val="32"/>
              <w:szCs w:val="32"/>
            </w:rPr>
            <w:instrText xml:space="preserve"> PAGEREF _Toc23147 \h </w:instrText>
          </w:r>
          <w:r>
            <w:rPr>
              <w:rFonts w:hint="eastAsia" w:ascii="黑体" w:hAnsi="黑体" w:eastAsia="黑体" w:cs="黑体"/>
              <w:b w:val="0"/>
              <w:bCs w:val="0"/>
              <w:i w:val="0"/>
              <w:iCs w:val="0"/>
              <w:sz w:val="32"/>
              <w:szCs w:val="32"/>
            </w:rPr>
            <w:fldChar w:fldCharType="separate"/>
          </w:r>
          <w:r>
            <w:rPr>
              <w:rFonts w:hint="eastAsia" w:ascii="黑体" w:hAnsi="黑体" w:eastAsia="黑体" w:cs="黑体"/>
              <w:b w:val="0"/>
              <w:bCs w:val="0"/>
              <w:i w:val="0"/>
              <w:iCs w:val="0"/>
              <w:sz w:val="32"/>
              <w:szCs w:val="32"/>
            </w:rPr>
            <w:t>- 26 -</w:t>
          </w:r>
          <w:r>
            <w:rPr>
              <w:rFonts w:hint="eastAsia" w:ascii="黑体" w:hAnsi="黑体" w:eastAsia="黑体" w:cs="黑体"/>
              <w:b w:val="0"/>
              <w:bCs w:val="0"/>
              <w:i w:val="0"/>
              <w:iCs w:val="0"/>
              <w:sz w:val="32"/>
              <w:szCs w:val="32"/>
            </w:rPr>
            <w:fldChar w:fldCharType="end"/>
          </w:r>
          <w:r>
            <w:rPr>
              <w:rFonts w:hint="eastAsia" w:ascii="黑体" w:hAnsi="黑体" w:eastAsia="黑体" w:cs="黑体"/>
              <w:b w:val="0"/>
              <w:bCs w:val="0"/>
              <w:i w:val="0"/>
              <w:iCs w:val="0"/>
              <w:sz w:val="32"/>
              <w:szCs w:val="32"/>
            </w:rPr>
            <w:fldChar w:fldCharType="end"/>
          </w:r>
        </w:p>
        <w:p w14:paraId="08ACD626">
          <w:pPr>
            <w:wordWrap w:val="0"/>
            <w:overflowPunct w:val="0"/>
            <w:spacing w:before="312" w:beforeLines="100" w:after="312" w:afterLines="100" w:line="480" w:lineRule="auto"/>
            <w:rPr>
              <w:rFonts w:hint="eastAsia" w:ascii="黑体" w:hAnsi="黑体" w:eastAsia="黑体" w:cs="黑体"/>
              <w:sz w:val="32"/>
              <w:szCs w:val="32"/>
            </w:rPr>
          </w:pPr>
          <w:r>
            <w:rPr>
              <w:rFonts w:hint="eastAsia" w:ascii="黑体" w:hAnsi="黑体" w:eastAsia="黑体" w:cs="黑体"/>
              <w:sz w:val="32"/>
              <w:szCs w:val="32"/>
            </w:rPr>
            <w:fldChar w:fldCharType="end"/>
          </w:r>
        </w:p>
      </w:sdtContent>
    </w:sdt>
    <w:p w14:paraId="69A012CB">
      <w:pPr>
        <w:wordWrap w:val="0"/>
        <w:overflowPunct w:val="0"/>
        <w:spacing w:before="312" w:beforeLines="100" w:after="312" w:afterLines="100" w:line="480" w:lineRule="auto"/>
        <w:rPr>
          <w:rFonts w:hint="eastAsia" w:ascii="黑体" w:hAnsi="黑体" w:eastAsia="黑体" w:cs="黑体"/>
          <w:sz w:val="32"/>
          <w:szCs w:val="32"/>
        </w:rPr>
        <w:sectPr>
          <w:headerReference r:id="rId4" w:type="default"/>
          <w:footerReference r:id="rId5" w:type="default"/>
          <w:pgSz w:w="11906" w:h="16838"/>
          <w:pgMar w:top="1440" w:right="1800" w:bottom="1440" w:left="1800" w:header="851" w:footer="992" w:gutter="0"/>
          <w:pgNumType w:fmt="numberInDash" w:start="1"/>
          <w:cols w:space="720" w:num="1"/>
          <w:docGrid w:type="lines" w:linePitch="312" w:charSpace="0"/>
        </w:sectPr>
      </w:pPr>
    </w:p>
    <w:p w14:paraId="3CFDEF48">
      <w:pPr>
        <w:pStyle w:val="2"/>
        <w:wordWrap w:val="0"/>
        <w:overflowPunct w:val="0"/>
        <w:spacing w:before="0" w:after="0" w:line="560" w:lineRule="exact"/>
        <w:jc w:val="center"/>
        <w:rPr>
          <w:rFonts w:hint="eastAsia" w:ascii="黑体" w:hAnsi="黑体" w:eastAsia="黑体" w:cs="黑体"/>
          <w:b w:val="0"/>
          <w:bCs w:val="0"/>
        </w:rPr>
      </w:pPr>
      <w:bookmarkStart w:id="10" w:name="_Toc29966"/>
      <w:r>
        <w:rPr>
          <w:rFonts w:hint="eastAsia" w:ascii="黑体" w:hAnsi="黑体" w:eastAsia="黑体" w:cs="黑体"/>
          <w:b w:val="0"/>
          <w:bCs w:val="0"/>
        </w:rPr>
        <w:t>第一章 采购公告</w:t>
      </w:r>
      <w:bookmarkEnd w:id="10"/>
    </w:p>
    <w:p w14:paraId="74D16875">
      <w:pPr>
        <w:wordWrap w:val="0"/>
        <w:overflowPunct w:val="0"/>
        <w:spacing w:line="560" w:lineRule="exact"/>
        <w:rPr>
          <w:rFonts w:hint="eastAsia" w:ascii="仿宋_GB2312" w:hAnsi="仿宋_GB2312" w:eastAsia="仿宋_GB2312" w:cs="仿宋_GB2312"/>
          <w:sz w:val="32"/>
          <w:szCs w:val="32"/>
        </w:rPr>
      </w:pPr>
    </w:p>
    <w:p w14:paraId="20A13F66">
      <w:pPr>
        <w:wordWrap w:val="0"/>
        <w:overflowPunct w:val="0"/>
        <w:spacing w:line="560" w:lineRule="exact"/>
        <w:jc w:val="center"/>
        <w:rPr>
          <w:rFonts w:ascii="方正小标宋简体" w:eastAsia="方正小标宋简体"/>
          <w:sz w:val="44"/>
          <w:szCs w:val="44"/>
        </w:rPr>
      </w:pPr>
      <w:r>
        <w:rPr>
          <w:rFonts w:hint="eastAsia" w:ascii="方正小标宋简体" w:eastAsia="方正小标宋简体"/>
          <w:sz w:val="44"/>
          <w:szCs w:val="44"/>
        </w:rPr>
        <w:t>海南华琨实业开发有限公司</w:t>
      </w:r>
    </w:p>
    <w:p w14:paraId="6509FF4C">
      <w:pPr>
        <w:wordWrap w:val="0"/>
        <w:overflowPunct w:val="0"/>
        <w:spacing w:line="560" w:lineRule="exact"/>
        <w:jc w:val="center"/>
        <w:rPr>
          <w:rFonts w:ascii="方正小标宋简体" w:eastAsia="方正小标宋简体"/>
          <w:sz w:val="44"/>
          <w:szCs w:val="44"/>
        </w:rPr>
      </w:pPr>
      <w:r>
        <w:rPr>
          <w:rFonts w:hint="eastAsia" w:ascii="方正小标宋简体" w:eastAsia="方正小标宋简体"/>
          <w:sz w:val="44"/>
          <w:szCs w:val="44"/>
        </w:rPr>
        <w:t>公开比选常年法律顾问的公告</w:t>
      </w:r>
    </w:p>
    <w:p w14:paraId="4B93FF3E">
      <w:pPr>
        <w:wordWrap w:val="0"/>
        <w:overflowPunct w:val="0"/>
        <w:spacing w:line="560" w:lineRule="exact"/>
        <w:rPr>
          <w:rFonts w:hint="eastAsia" w:ascii="仿宋_GB2312" w:hAnsi="仿宋_GB2312" w:eastAsia="仿宋_GB2312" w:cs="仿宋_GB2312"/>
          <w:sz w:val="32"/>
          <w:szCs w:val="32"/>
        </w:rPr>
      </w:pPr>
    </w:p>
    <w:p w14:paraId="07B3D84D">
      <w:pPr>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根据海南华琨实业开发有限公司（以下简称“公司”）业务需要，为</w:t>
      </w:r>
      <w:r>
        <w:rPr>
          <w:rFonts w:hint="eastAsia" w:ascii="仿宋_GB2312" w:eastAsia="仿宋_GB2312"/>
          <w:sz w:val="32"/>
          <w:szCs w:val="32"/>
        </w:rPr>
        <w:t>完善风险防控体系并保障业务稳健发展</w:t>
      </w:r>
      <w:r>
        <w:rPr>
          <w:rFonts w:hint="eastAsia" w:ascii="仿宋_GB2312" w:hAnsi="仿宋_GB2312" w:eastAsia="仿宋_GB2312" w:cs="仿宋_GB2312"/>
          <w:sz w:val="32"/>
          <w:szCs w:val="32"/>
        </w:rPr>
        <w:t>，结合《海南联合资产管理有限公司外聘律师事务所管理办法》规定，公司拟选聘1家律师事务所作为常年法律顾问，提供法律服务与支持。</w:t>
      </w:r>
    </w:p>
    <w:p w14:paraId="197DAF3B">
      <w:pPr>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诚挚邀请符合资格条件的潜在参选人参加比选，现将有关事项公告如下：</w:t>
      </w:r>
    </w:p>
    <w:p w14:paraId="05B83930">
      <w:pPr>
        <w:pStyle w:val="59"/>
        <w:wordWrap w:val="0"/>
        <w:overflowPunct w:val="0"/>
        <w:spacing w:line="560" w:lineRule="exact"/>
        <w:ind w:firstLine="640"/>
        <w:rPr>
          <w:rFonts w:hint="eastAsia" w:ascii="黑体" w:hAnsi="黑体" w:eastAsia="黑体"/>
          <w:sz w:val="32"/>
          <w:szCs w:val="32"/>
        </w:rPr>
      </w:pPr>
      <w:r>
        <w:rPr>
          <w:rFonts w:hint="eastAsia" w:ascii="黑体" w:hAnsi="黑体" w:eastAsia="黑体"/>
          <w:sz w:val="32"/>
          <w:szCs w:val="32"/>
        </w:rPr>
        <w:t>一、项目概况</w:t>
      </w:r>
    </w:p>
    <w:p w14:paraId="0776963F">
      <w:pPr>
        <w:wordWrap w:val="0"/>
        <w:overflowPunct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1.项目名称：海南华琨实业开发有限公司公开比选常年法律顾问。</w:t>
      </w:r>
    </w:p>
    <w:p w14:paraId="6B6E9E04">
      <w:pPr>
        <w:wordWrap w:val="0"/>
        <w:overflowPunct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2.服务期限：根据服务合同约定（每年一签，不超过两年）。</w:t>
      </w:r>
    </w:p>
    <w:p w14:paraId="0DB0E2F6">
      <w:pPr>
        <w:wordWrap w:val="0"/>
        <w:overflowPunct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3.服务费用：采购控制价不超过人民币4万元/年（包含税费、差旅费等一切费用）。</w:t>
      </w:r>
    </w:p>
    <w:p w14:paraId="55FFB33C">
      <w:pPr>
        <w:wordWrap w:val="0"/>
        <w:overflowPunct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4.付款方式：分期支付（第一期：服务合同签订后次日起，收到律师事务所开具的增值税专用发票5个工作日内支付50%；第二期：服务合同履行6个月后次日起，收到律师事务所开具的增值税专用发票5个工作日内支付剩余的50%）。</w:t>
      </w:r>
    </w:p>
    <w:p w14:paraId="4D8BE3A8">
      <w:pPr>
        <w:wordWrap w:val="0"/>
        <w:overflowPunct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5.选聘数量：1家律师事务所（不接受联合体参选）。</w:t>
      </w:r>
    </w:p>
    <w:p w14:paraId="0AA97C3A">
      <w:pPr>
        <w:wordWrap w:val="0"/>
        <w:overflowPunct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6.比选要求：采用公开比选方式进行采购，分为资格审查、综合评审两部分。</w:t>
      </w:r>
    </w:p>
    <w:p w14:paraId="230F6888">
      <w:pPr>
        <w:pStyle w:val="59"/>
        <w:wordWrap w:val="0"/>
        <w:overflowPunct w:val="0"/>
        <w:spacing w:line="560" w:lineRule="exact"/>
        <w:ind w:firstLine="640"/>
        <w:rPr>
          <w:rFonts w:hint="eastAsia" w:ascii="黑体" w:hAnsi="黑体" w:eastAsia="黑体"/>
          <w:sz w:val="32"/>
          <w:szCs w:val="32"/>
        </w:rPr>
      </w:pPr>
      <w:r>
        <w:rPr>
          <w:rFonts w:hint="eastAsia" w:ascii="黑体" w:hAnsi="黑体" w:eastAsia="黑体"/>
          <w:sz w:val="32"/>
          <w:szCs w:val="32"/>
        </w:rPr>
        <w:t>二、常年法律服务内容</w:t>
      </w:r>
    </w:p>
    <w:p w14:paraId="2129EA5F">
      <w:pPr>
        <w:widowControl/>
        <w:numPr>
          <w:ilvl w:val="0"/>
          <w:numId w:val="1"/>
        </w:numPr>
        <w:wordWrap w:val="0"/>
        <w:overflowPunct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为公司日常事务提供法律咨询，解答法律问题；</w:t>
      </w:r>
    </w:p>
    <w:p w14:paraId="6011047E">
      <w:pPr>
        <w:widowControl/>
        <w:numPr>
          <w:ilvl w:val="0"/>
          <w:numId w:val="1"/>
        </w:numPr>
        <w:wordWrap w:val="0"/>
        <w:overflowPunct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起草、审查公司经营活动涉及的相关协议、合同、法律文书，并应公司要求出具相应法律意见书等；</w:t>
      </w:r>
    </w:p>
    <w:p w14:paraId="07E648A4">
      <w:pPr>
        <w:widowControl/>
        <w:numPr>
          <w:ilvl w:val="0"/>
          <w:numId w:val="1"/>
        </w:numPr>
        <w:wordWrap w:val="0"/>
        <w:overflowPunct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为公司制定修改公司章程、内部规章制度等重大事项提供法律意见、出具法律意见书；</w:t>
      </w:r>
    </w:p>
    <w:p w14:paraId="287D8084">
      <w:pPr>
        <w:widowControl/>
        <w:numPr>
          <w:ilvl w:val="0"/>
          <w:numId w:val="1"/>
        </w:numPr>
        <w:wordWrap w:val="0"/>
        <w:overflowPunct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为公司分立、合并（兼并重组）、破产、解散、减少注册资本等重大事项提供法律意见、出具法律意见书；</w:t>
      </w:r>
    </w:p>
    <w:p w14:paraId="71B7FF9F">
      <w:pPr>
        <w:widowControl/>
        <w:numPr>
          <w:ilvl w:val="0"/>
          <w:numId w:val="1"/>
        </w:numPr>
        <w:wordWrap w:val="0"/>
        <w:overflowPunct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为公司改制（混合所有制改革、员工持股等）等重大事项提供法律意见、出具法律意见书；</w:t>
      </w:r>
    </w:p>
    <w:p w14:paraId="3AD67564">
      <w:pPr>
        <w:widowControl/>
        <w:numPr>
          <w:ilvl w:val="0"/>
          <w:numId w:val="1"/>
        </w:numPr>
        <w:wordWrap w:val="0"/>
        <w:overflowPunct w:val="0"/>
        <w:spacing w:line="560" w:lineRule="exact"/>
        <w:ind w:left="0" w:firstLine="640" w:firstLineChars="200"/>
        <w:rPr>
          <w:rFonts w:hint="eastAsia" w:ascii="仿宋_GB2312" w:hAnsi="黑体" w:eastAsia="仿宋_GB2312"/>
          <w:sz w:val="32"/>
          <w:szCs w:val="32"/>
        </w:rPr>
      </w:pPr>
      <w:r>
        <w:rPr>
          <w:rFonts w:hint="eastAsia" w:ascii="仿宋_GB2312" w:hAnsi="仿宋_GB2312" w:eastAsia="仿宋_GB2312" w:cs="仿宋_GB2312"/>
          <w:sz w:val="32"/>
          <w:szCs w:val="32"/>
        </w:rPr>
        <w:t>为公司重大投资、融资合同提供法律意见、出具法律意见书；</w:t>
      </w:r>
    </w:p>
    <w:p w14:paraId="50625644">
      <w:pPr>
        <w:widowControl/>
        <w:numPr>
          <w:ilvl w:val="0"/>
          <w:numId w:val="1"/>
        </w:numPr>
        <w:wordWrap w:val="0"/>
        <w:overflowPunct w:val="0"/>
        <w:spacing w:line="560" w:lineRule="exact"/>
        <w:ind w:left="0" w:firstLine="640" w:firstLineChars="200"/>
        <w:rPr>
          <w:rFonts w:hint="eastAsia" w:ascii="仿宋_GB2312" w:hAnsi="黑体" w:eastAsia="仿宋_GB2312"/>
          <w:sz w:val="32"/>
          <w:szCs w:val="32"/>
        </w:rPr>
      </w:pPr>
      <w:r>
        <w:rPr>
          <w:rFonts w:hint="eastAsia" w:ascii="仿宋_GB2312" w:hAnsi="仿宋_GB2312" w:eastAsia="仿宋_GB2312" w:cs="仿宋_GB2312"/>
          <w:sz w:val="32"/>
          <w:szCs w:val="32"/>
        </w:rPr>
        <w:t>为公司大额资金借贷合同、担保合同、经济合同提供法律意见、出具法律意见书；</w:t>
      </w:r>
    </w:p>
    <w:p w14:paraId="67945FD8">
      <w:pPr>
        <w:widowControl/>
        <w:numPr>
          <w:ilvl w:val="0"/>
          <w:numId w:val="1"/>
        </w:numPr>
        <w:wordWrap w:val="0"/>
        <w:overflowPunct w:val="0"/>
        <w:spacing w:line="560" w:lineRule="exact"/>
        <w:ind w:left="0" w:firstLine="640" w:firstLineChars="200"/>
        <w:rPr>
          <w:rFonts w:hint="eastAsia" w:ascii="仿宋_GB2312" w:hAnsi="黑体" w:eastAsia="仿宋_GB2312"/>
          <w:sz w:val="32"/>
          <w:szCs w:val="32"/>
        </w:rPr>
      </w:pPr>
      <w:r>
        <w:rPr>
          <w:rFonts w:hint="eastAsia" w:ascii="仿宋_GB2312" w:hAnsi="仿宋_GB2312" w:eastAsia="仿宋_GB2312" w:cs="仿宋_GB2312"/>
          <w:sz w:val="32"/>
          <w:szCs w:val="32"/>
        </w:rPr>
        <w:t>为公司产权转让，重大资产置换、质押、拍卖等重大事项提供法律意见、出具法律意见书；</w:t>
      </w:r>
    </w:p>
    <w:p w14:paraId="422DC5F3">
      <w:pPr>
        <w:widowControl/>
        <w:numPr>
          <w:ilvl w:val="0"/>
          <w:numId w:val="1"/>
        </w:numPr>
        <w:wordWrap w:val="0"/>
        <w:overflowPunct w:val="0"/>
        <w:spacing w:line="560" w:lineRule="exact"/>
        <w:ind w:left="0" w:firstLine="640" w:firstLineChars="200"/>
        <w:rPr>
          <w:rFonts w:hint="eastAsia" w:ascii="仿宋_GB2312" w:hAnsi="黑体" w:eastAsia="仿宋_GB2312"/>
          <w:sz w:val="32"/>
          <w:szCs w:val="32"/>
        </w:rPr>
      </w:pPr>
      <w:r>
        <w:rPr>
          <w:rFonts w:hint="eastAsia" w:ascii="仿宋_GB2312" w:hAnsi="仿宋_GB2312" w:eastAsia="仿宋_GB2312" w:cs="仿宋_GB2312"/>
          <w:sz w:val="32"/>
          <w:szCs w:val="32"/>
        </w:rPr>
        <w:t>为公司重大项目招标投标等采购事项提供法律意见、出具法律意见书；</w:t>
      </w:r>
    </w:p>
    <w:p w14:paraId="710FC501">
      <w:pPr>
        <w:widowControl/>
        <w:numPr>
          <w:ilvl w:val="0"/>
          <w:numId w:val="1"/>
        </w:numPr>
        <w:wordWrap w:val="0"/>
        <w:overflowPunct w:val="0"/>
        <w:spacing w:line="560" w:lineRule="exact"/>
        <w:ind w:left="0" w:firstLine="640" w:firstLineChars="200"/>
        <w:rPr>
          <w:rFonts w:hint="eastAsia" w:ascii="仿宋_GB2312" w:hAnsi="黑体" w:eastAsia="仿宋_GB2312"/>
          <w:sz w:val="32"/>
          <w:szCs w:val="32"/>
        </w:rPr>
      </w:pPr>
      <w:r>
        <w:rPr>
          <w:rFonts w:hint="eastAsia" w:ascii="仿宋_GB2312" w:hAnsi="仿宋_GB2312" w:eastAsia="仿宋_GB2312" w:cs="仿宋_GB2312"/>
          <w:sz w:val="32"/>
          <w:szCs w:val="32"/>
        </w:rPr>
        <w:t>为公司报送上级主管单位审核、批准或备案，需要外聘法律顾问出具法律意见书的事项出具法律意见书；</w:t>
      </w:r>
    </w:p>
    <w:p w14:paraId="0505AD61">
      <w:pPr>
        <w:widowControl/>
        <w:numPr>
          <w:ilvl w:val="0"/>
          <w:numId w:val="1"/>
        </w:numPr>
        <w:wordWrap w:val="0"/>
        <w:overflowPunct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为公司重大经营决策事项提供法律意见，出具法律意见书；</w:t>
      </w:r>
    </w:p>
    <w:p w14:paraId="45D91903">
      <w:pPr>
        <w:widowControl/>
        <w:numPr>
          <w:ilvl w:val="0"/>
          <w:numId w:val="1"/>
        </w:numPr>
        <w:wordWrap w:val="0"/>
        <w:overflowPunct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参与磋商、业务谈判、法律纠纷的谈判、协商、调解及风险事件的处置等；</w:t>
      </w:r>
    </w:p>
    <w:p w14:paraId="34A15977">
      <w:pPr>
        <w:widowControl/>
        <w:numPr>
          <w:ilvl w:val="0"/>
          <w:numId w:val="1"/>
        </w:numPr>
        <w:wordWrap w:val="0"/>
        <w:overflowPunct w:val="0"/>
        <w:spacing w:line="560" w:lineRule="exact"/>
        <w:ind w:left="0" w:firstLine="640" w:firstLineChars="200"/>
        <w:rPr>
          <w:rFonts w:hint="eastAsia" w:ascii="仿宋_GB2312" w:hAnsi="仿宋_GB2312" w:eastAsia="仿宋_GB2312" w:cs="仿宋_GB2312"/>
          <w:sz w:val="32"/>
          <w:szCs w:val="32"/>
        </w:rPr>
      </w:pPr>
      <w:r>
        <w:rPr>
          <w:rFonts w:hint="eastAsia" w:ascii="仿宋_GB2312" w:hAnsi="黑体" w:eastAsia="仿宋_GB2312"/>
          <w:sz w:val="32"/>
          <w:szCs w:val="32"/>
        </w:rPr>
        <w:t>就公司重大事项或重大案件进行研讨分析，从法律角度提出参考意见等；</w:t>
      </w:r>
    </w:p>
    <w:p w14:paraId="2CF1E7C0">
      <w:pPr>
        <w:widowControl/>
        <w:numPr>
          <w:ilvl w:val="0"/>
          <w:numId w:val="1"/>
        </w:numPr>
        <w:wordWrap w:val="0"/>
        <w:overflowPunct w:val="0"/>
        <w:spacing w:line="560" w:lineRule="exact"/>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协助公司开展法治宣传教育、培训；</w:t>
      </w:r>
    </w:p>
    <w:p w14:paraId="57546918">
      <w:pPr>
        <w:numPr>
          <w:ilvl w:val="0"/>
          <w:numId w:val="1"/>
        </w:numPr>
        <w:wordWrap w:val="0"/>
        <w:overflowPunct w:val="0"/>
        <w:spacing w:line="560" w:lineRule="exact"/>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需要参与的其他涉法事务。</w:t>
      </w:r>
    </w:p>
    <w:p w14:paraId="5C50AE56">
      <w:pPr>
        <w:pStyle w:val="59"/>
        <w:wordWrap w:val="0"/>
        <w:overflowPunct w:val="0"/>
        <w:spacing w:line="560" w:lineRule="exact"/>
        <w:ind w:firstLine="640"/>
        <w:rPr>
          <w:rFonts w:hint="eastAsia" w:ascii="黑体" w:hAnsi="黑体" w:eastAsia="黑体"/>
          <w:sz w:val="32"/>
          <w:szCs w:val="32"/>
        </w:rPr>
      </w:pPr>
      <w:r>
        <w:rPr>
          <w:rFonts w:hint="eastAsia" w:ascii="黑体" w:hAnsi="黑体" w:eastAsia="黑体"/>
          <w:sz w:val="32"/>
          <w:szCs w:val="32"/>
        </w:rPr>
        <w:t>三、资格审查条件</w:t>
      </w:r>
    </w:p>
    <w:p w14:paraId="1E3CF34F">
      <w:pPr>
        <w:widowControl/>
        <w:numPr>
          <w:ilvl w:val="0"/>
          <w:numId w:val="2"/>
        </w:numPr>
        <w:wordWrap w:val="0"/>
        <w:overflowPunct w:val="0"/>
        <w:spacing w:line="560" w:lineRule="exact"/>
        <w:ind w:left="0" w:firstLine="640" w:firstLineChars="200"/>
        <w:rPr>
          <w:rFonts w:hint="eastAsia" w:ascii="仿宋_GB2312" w:hAnsi="黑体" w:eastAsia="仿宋_GB2312"/>
          <w:sz w:val="32"/>
          <w:szCs w:val="32"/>
        </w:rPr>
      </w:pPr>
      <w:r>
        <w:rPr>
          <w:rFonts w:hint="eastAsia" w:ascii="仿宋_GB2312" w:hAnsi="仿宋_GB2312" w:eastAsia="仿宋_GB2312" w:cs="仿宋_GB2312"/>
          <w:sz w:val="32"/>
          <w:szCs w:val="32"/>
        </w:rPr>
        <w:t>参选人须是在中华人民共和国境内注册、具有独立承担民事责任能力的律师事务所，须未被列入中国执行信息公开网(https://zxgk.court.gov.cn/)“失信被执行人”，未被列入信用中国（https://www.creditchina.gov.cn/）“重大税收违法失信主体”，未被列入中国政府采购网(www.ccgp.gov.cn)“政府采购严重违法失信行为记录名单”。</w:t>
      </w:r>
    </w:p>
    <w:p w14:paraId="234EDDEA">
      <w:pPr>
        <w:widowControl/>
        <w:numPr>
          <w:ilvl w:val="0"/>
          <w:numId w:val="2"/>
        </w:numPr>
        <w:wordWrap w:val="0"/>
        <w:overflowPunct w:val="0"/>
        <w:spacing w:line="560" w:lineRule="exact"/>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参选人具有依法缴纳税收和社会保障资金的良好记录。</w:t>
      </w:r>
      <w:bookmarkStart w:id="11" w:name="_Hlk213080921"/>
    </w:p>
    <w:p w14:paraId="23A42709">
      <w:pPr>
        <w:widowControl/>
        <w:numPr>
          <w:ilvl w:val="0"/>
          <w:numId w:val="2"/>
        </w:numPr>
        <w:wordWrap w:val="0"/>
        <w:overflowPunct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参选人参选前3年内，在经营活动中没有重大违纪、违法记录。</w:t>
      </w:r>
    </w:p>
    <w:bookmarkEnd w:id="11"/>
    <w:p w14:paraId="6B7A539E">
      <w:pPr>
        <w:widowControl/>
        <w:numPr>
          <w:ilvl w:val="0"/>
          <w:numId w:val="2"/>
        </w:numPr>
        <w:wordWrap w:val="0"/>
        <w:overflowPunct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参选人参选前3年内，未因自身的任何违约、违法和违反职业道德的行为导致服务合同解除或败诉，未受过司法行政部门的执政处罚或者律师协会的行业处分。</w:t>
      </w:r>
    </w:p>
    <w:p w14:paraId="4EE6BBF3">
      <w:pPr>
        <w:widowControl/>
        <w:numPr>
          <w:ilvl w:val="0"/>
          <w:numId w:val="2"/>
        </w:numPr>
        <w:wordWrap w:val="0"/>
        <w:overflowPunct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参选人具有良好的社会关系，资信实力、管理水平、商业信誉和健全的财务会计制度。</w:t>
      </w:r>
    </w:p>
    <w:p w14:paraId="04C53452">
      <w:pPr>
        <w:widowControl/>
        <w:numPr>
          <w:ilvl w:val="0"/>
          <w:numId w:val="2"/>
        </w:numPr>
        <w:wordWrap w:val="0"/>
        <w:overflowPunct w:val="0"/>
        <w:spacing w:line="560" w:lineRule="exact"/>
        <w:ind w:left="0" w:firstLine="640" w:firstLineChars="200"/>
        <w:rPr>
          <w:rFonts w:hint="eastAsia" w:ascii="仿宋_GB2312" w:hAnsi="黑体" w:eastAsia="仿宋_GB2312"/>
          <w:sz w:val="32"/>
          <w:szCs w:val="32"/>
        </w:rPr>
      </w:pPr>
      <w:r>
        <w:rPr>
          <w:rFonts w:hint="eastAsia" w:ascii="仿宋_GB2312" w:hAnsi="黑体" w:eastAsia="仿宋_GB2312"/>
          <w:sz w:val="32"/>
          <w:szCs w:val="32"/>
        </w:rPr>
        <w:t>参选人参选前1年内，不存在与公司有利益冲突的情形（含诉讼、非诉讼、投资并购等事项）。</w:t>
      </w:r>
    </w:p>
    <w:p w14:paraId="1C74D581">
      <w:pPr>
        <w:widowControl/>
        <w:numPr>
          <w:ilvl w:val="0"/>
          <w:numId w:val="2"/>
        </w:numPr>
        <w:wordWrap w:val="0"/>
        <w:overflowPunct w:val="0"/>
        <w:spacing w:line="560" w:lineRule="exact"/>
        <w:ind w:left="0" w:firstLine="640" w:firstLineChars="200"/>
        <w:rPr>
          <w:rFonts w:hint="eastAsia" w:ascii="仿宋_GB2312" w:hAnsi="黑体" w:eastAsia="仿宋_GB2312"/>
          <w:sz w:val="32"/>
          <w:szCs w:val="32"/>
        </w:rPr>
      </w:pPr>
      <w:r>
        <w:rPr>
          <w:rFonts w:hint="eastAsia" w:ascii="仿宋_GB2312" w:hAnsi="仿宋_GB2312" w:eastAsia="仿宋_GB2312" w:cs="仿宋_GB2312"/>
          <w:sz w:val="32"/>
          <w:szCs w:val="32"/>
        </w:rPr>
        <w:t>参选人指派主办律师2人以上，参选时执业年限5年以上，具有丰富的执业经验，在相关专业领域具有较强的专业能力素养，已投保执业责任保险</w:t>
      </w:r>
      <w:r>
        <w:rPr>
          <w:rFonts w:hint="eastAsia" w:ascii="仿宋_GB2312" w:hAnsi="黑体" w:eastAsia="仿宋_GB2312"/>
          <w:sz w:val="32"/>
          <w:szCs w:val="32"/>
        </w:rPr>
        <w:t>。</w:t>
      </w:r>
    </w:p>
    <w:p w14:paraId="492F73AE">
      <w:pPr>
        <w:wordWrap w:val="0"/>
        <w:overflowPunct w:val="0"/>
        <w:spacing w:line="560" w:lineRule="exact"/>
        <w:ind w:firstLine="640" w:firstLineChars="200"/>
        <w:rPr>
          <w:rFonts w:hint="eastAsia" w:ascii="黑体" w:hAnsi="黑体" w:eastAsia="黑体"/>
          <w:sz w:val="32"/>
          <w:szCs w:val="32"/>
        </w:rPr>
      </w:pPr>
      <w:r>
        <w:rPr>
          <w:rFonts w:hint="eastAsia" w:ascii="黑体" w:hAnsi="黑体" w:eastAsia="黑体"/>
          <w:sz w:val="32"/>
          <w:szCs w:val="32"/>
        </w:rPr>
        <w:t>四、比选评审要求</w:t>
      </w:r>
    </w:p>
    <w:p w14:paraId="3C75AE6E">
      <w:pPr>
        <w:wordWrap w:val="0"/>
        <w:overflowPunct w:val="0"/>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（一）资格审查</w:t>
      </w:r>
    </w:p>
    <w:p w14:paraId="09B19219">
      <w:pPr>
        <w:wordWrap w:val="0"/>
        <w:overflowPunct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本项目评审小组根据比选文件要求，对参选人的资格条件进行审查，只有通过资格审查才能进入综合评审。</w:t>
      </w:r>
    </w:p>
    <w:p w14:paraId="7C3E7E47">
      <w:pPr>
        <w:wordWrap w:val="0"/>
        <w:overflowPunct w:val="0"/>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（二）综合评审</w:t>
      </w:r>
    </w:p>
    <w:p w14:paraId="047F68A7">
      <w:pPr>
        <w:wordWrap w:val="0"/>
        <w:overflowPunct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1.本项目评审采用综合评分法，评审小组根据比选文件量化因素、分值要求，对参选文件的内容进行综合评价打分并计算出综合得分。</w:t>
      </w:r>
    </w:p>
    <w:p w14:paraId="26DE6FB7">
      <w:pPr>
        <w:wordWrap w:val="0"/>
        <w:overflowPunct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2.本项目评审小组根据综合得分，由高到低的顺序推荐前三名候选人，原则上推荐排名第一的候选人为中选人；综合评分相同的，以“服务报价”最低者排名优先；服务报价也相同的，有评审小组现场抽签确定排名。</w:t>
      </w:r>
    </w:p>
    <w:p w14:paraId="3E7076EE">
      <w:pPr>
        <w:wordWrap w:val="0"/>
        <w:overflowPunct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3若排名第一的候选人放弃中选、因不可抗力或重大利益冲突不能履行服务合同的，或者被查实存在影响中选结果的违规行为等情形，不符合中选条件的，公司可以按照评审小组推荐的中选候选人名单排序依次确定其他候选人为中选人，也可以重新开展采购。</w:t>
      </w:r>
    </w:p>
    <w:p w14:paraId="7B8F4BD1">
      <w:pPr>
        <w:tabs>
          <w:tab w:val="left" w:pos="700"/>
        </w:tabs>
        <w:wordWrap w:val="0"/>
        <w:overflowPunct w:val="0"/>
        <w:spacing w:line="560" w:lineRule="exact"/>
        <w:ind w:firstLine="640" w:firstLineChars="200"/>
        <w:rPr>
          <w:rFonts w:hint="eastAsia" w:ascii="黑体" w:hAnsi="黑体" w:eastAsia="黑体"/>
          <w:sz w:val="32"/>
          <w:szCs w:val="32"/>
        </w:rPr>
      </w:pPr>
      <w:r>
        <w:rPr>
          <w:rFonts w:hint="eastAsia" w:ascii="黑体" w:hAnsi="黑体" w:eastAsia="黑体"/>
          <w:sz w:val="32"/>
          <w:szCs w:val="32"/>
        </w:rPr>
        <w:t>五、参选文件要求</w:t>
      </w:r>
    </w:p>
    <w:p w14:paraId="435C9C71">
      <w:pPr>
        <w:tabs>
          <w:tab w:val="left" w:pos="700"/>
        </w:tabs>
        <w:wordWrap w:val="0"/>
        <w:overflowPunct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参选人应当严格按照本项目比选要求同时提交电子版和纸质版的参选文件（具体详见附件），纸质版材料扫描成电子版存储U盘，连同纸质版材料，装入密封的信封或包装；参选文件封面应当标明项目名称，参选人名称、联系地址和方式、参选日期，封口处加盖参选人公章递交至指定地点。</w:t>
      </w:r>
    </w:p>
    <w:p w14:paraId="52EA7D48">
      <w:pPr>
        <w:tabs>
          <w:tab w:val="left" w:pos="700"/>
        </w:tabs>
        <w:wordWrap w:val="0"/>
        <w:overflowPunct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2.参选文件纸质版材料正本壹份，副本贰份，并在其封面上清楚地表明“正本”或“副本”字样；正本与副本不一致的，以正本为准；正本和副本均需要在规定签章处签名盖章或加盖骑缝章。</w:t>
      </w:r>
    </w:p>
    <w:p w14:paraId="08D51205">
      <w:pPr>
        <w:tabs>
          <w:tab w:val="left" w:pos="700"/>
        </w:tabs>
        <w:wordWrap w:val="0"/>
        <w:overflowPunct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3.参选文件的资格审查部分请严格按照顺序提供，避免遗漏。</w:t>
      </w:r>
    </w:p>
    <w:p w14:paraId="7120FBA4">
      <w:pPr>
        <w:tabs>
          <w:tab w:val="left" w:pos="700"/>
        </w:tabs>
        <w:wordWrap w:val="0"/>
        <w:overflowPunct w:val="0"/>
        <w:spacing w:line="560" w:lineRule="exact"/>
        <w:ind w:firstLine="640" w:firstLineChars="200"/>
        <w:rPr>
          <w:rFonts w:hint="eastAsia" w:ascii="黑体" w:hAnsi="黑体" w:eastAsia="黑体"/>
          <w:sz w:val="32"/>
          <w:szCs w:val="32"/>
        </w:rPr>
      </w:pPr>
      <w:r>
        <w:rPr>
          <w:rFonts w:hint="eastAsia" w:ascii="黑体" w:hAnsi="黑体" w:eastAsia="黑体"/>
          <w:sz w:val="32"/>
          <w:szCs w:val="32"/>
        </w:rPr>
        <w:t>六、其他说明</w:t>
      </w:r>
    </w:p>
    <w:p w14:paraId="1962BAC4">
      <w:pPr>
        <w:wordWrap w:val="0"/>
        <w:overflowPunct w:val="0"/>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（一）比选文件获取方式</w:t>
      </w:r>
    </w:p>
    <w:p w14:paraId="7BA3B22A">
      <w:pPr>
        <w:tabs>
          <w:tab w:val="left" w:pos="700"/>
        </w:tabs>
        <w:wordWrap w:val="0"/>
        <w:overflowPunct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请有意参加本项目的潜在参选人</w:t>
      </w:r>
      <w:r>
        <w:rPr>
          <w:rFonts w:hint="eastAsia" w:ascii="仿宋_GB2312" w:eastAsia="仿宋_GB2312"/>
          <w:sz w:val="32"/>
          <w:szCs w:val="32"/>
        </w:rPr>
        <w:t>，前往海南联合资产管理有限公司官网（http://www.hnlhzc.com/）</w:t>
      </w:r>
      <w:r>
        <w:rPr>
          <w:rFonts w:hint="eastAsia" w:ascii="仿宋_GB2312" w:hAnsi="黑体" w:eastAsia="仿宋_GB2312"/>
          <w:sz w:val="32"/>
          <w:szCs w:val="32"/>
        </w:rPr>
        <w:t>自行下载比选文件。</w:t>
      </w:r>
    </w:p>
    <w:p w14:paraId="51F6E19A">
      <w:pPr>
        <w:wordWrap w:val="0"/>
        <w:overflowPunct w:val="0"/>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（二）参选文件递交截至时间</w:t>
      </w:r>
    </w:p>
    <w:p w14:paraId="0739C3F7">
      <w:pPr>
        <w:tabs>
          <w:tab w:val="left" w:pos="700"/>
        </w:tabs>
        <w:wordWrap w:val="0"/>
        <w:overflowPunct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参选文件须于2026年4月17日9时前递交至指定地点，逾期送达的或不符合比选文件规定要求的参选文件，公司不予受理。</w:t>
      </w:r>
    </w:p>
    <w:p w14:paraId="4E1F873D">
      <w:pPr>
        <w:wordWrap w:val="0"/>
        <w:overflowPunct w:val="0"/>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xml:space="preserve">（三）参选文件递交地址 </w:t>
      </w:r>
    </w:p>
    <w:p w14:paraId="2A9404F4">
      <w:pPr>
        <w:tabs>
          <w:tab w:val="left" w:pos="700"/>
        </w:tabs>
        <w:wordWrap w:val="0"/>
        <w:overflowPunct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海南省海口市龙华区滨海大道81号南洋大厦14楼海南华琨实业开发有限公司。</w:t>
      </w:r>
    </w:p>
    <w:p w14:paraId="0B8EDDA9">
      <w:pPr>
        <w:tabs>
          <w:tab w:val="left" w:pos="700"/>
        </w:tabs>
        <w:wordWrap w:val="0"/>
        <w:overflowPunct w:val="0"/>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七、现场评审时间、地点</w:t>
      </w:r>
    </w:p>
    <w:p w14:paraId="02DA47C8">
      <w:pPr>
        <w:tabs>
          <w:tab w:val="left" w:pos="700"/>
        </w:tabs>
        <w:wordWrap w:val="0"/>
        <w:overflowPunct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本项目拟定于2026年4月17日10时，在海南省海口市龙华区滨海大道81号南洋大厦14楼海南华琨实业开发有限公司会议室现场评审；现场评审结束后在</w:t>
      </w:r>
      <w:bookmarkStart w:id="12" w:name="_Hlk211349446"/>
      <w:r>
        <w:rPr>
          <w:rFonts w:hint="eastAsia" w:ascii="仿宋_GB2312" w:eastAsia="仿宋_GB2312"/>
          <w:sz w:val="32"/>
          <w:szCs w:val="32"/>
        </w:rPr>
        <w:t>海南联合资产管理有限公司官网（http://www.hnlhzc.com/）</w:t>
      </w:r>
      <w:r>
        <w:rPr>
          <w:rFonts w:hint="eastAsia" w:ascii="仿宋_GB2312" w:hAnsi="黑体" w:eastAsia="仿宋_GB2312"/>
          <w:sz w:val="32"/>
          <w:szCs w:val="32"/>
        </w:rPr>
        <w:t>公告</w:t>
      </w:r>
      <w:bookmarkEnd w:id="12"/>
      <w:r>
        <w:rPr>
          <w:rFonts w:hint="eastAsia" w:ascii="仿宋_GB2312" w:hAnsi="黑体" w:eastAsia="仿宋_GB2312"/>
          <w:sz w:val="32"/>
          <w:szCs w:val="32"/>
        </w:rPr>
        <w:t>中选人名单。</w:t>
      </w:r>
    </w:p>
    <w:p w14:paraId="0B007DA8">
      <w:pPr>
        <w:tabs>
          <w:tab w:val="left" w:pos="700"/>
        </w:tabs>
        <w:wordWrap w:val="0"/>
        <w:overflowPunct w:val="0"/>
        <w:spacing w:line="560" w:lineRule="exact"/>
        <w:ind w:firstLine="640" w:firstLineChars="200"/>
        <w:rPr>
          <w:rFonts w:hint="eastAsia" w:ascii="黑体" w:hAnsi="黑体" w:eastAsia="黑体"/>
          <w:sz w:val="32"/>
          <w:szCs w:val="32"/>
        </w:rPr>
      </w:pPr>
      <w:r>
        <w:rPr>
          <w:rFonts w:hint="eastAsia" w:ascii="黑体" w:hAnsi="黑体" w:eastAsia="黑体"/>
          <w:sz w:val="32"/>
          <w:szCs w:val="32"/>
        </w:rPr>
        <w:t>八、项目咨询联系方式</w:t>
      </w:r>
    </w:p>
    <w:p w14:paraId="2CE139C7">
      <w:pPr>
        <w:tabs>
          <w:tab w:val="left" w:pos="700"/>
        </w:tabs>
        <w:wordWrap w:val="0"/>
        <w:overflowPunct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本项目有关事项需要咨询的，可以与下列人员联系：</w:t>
      </w:r>
    </w:p>
    <w:p w14:paraId="5772440D">
      <w:pPr>
        <w:tabs>
          <w:tab w:val="left" w:pos="700"/>
        </w:tabs>
        <w:wordWrap w:val="0"/>
        <w:overflowPunct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联 系 人：符少峰，联系电话：18889353700</w:t>
      </w:r>
    </w:p>
    <w:p w14:paraId="55A97D3A">
      <w:pPr>
        <w:tabs>
          <w:tab w:val="left" w:pos="700"/>
        </w:tabs>
        <w:wordWrap w:val="0"/>
        <w:overflowPunct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联系地址：海南省海口市龙华区滨海大道81号南洋大厦14楼1401室</w:t>
      </w:r>
    </w:p>
    <w:p w14:paraId="6235FBC6">
      <w:pPr>
        <w:tabs>
          <w:tab w:val="left" w:pos="700"/>
        </w:tabs>
        <w:wordWrap w:val="0"/>
        <w:overflowPunct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邮政编码：570105</w:t>
      </w:r>
    </w:p>
    <w:p w14:paraId="4C08D5BD">
      <w:pPr>
        <w:tabs>
          <w:tab w:val="left" w:pos="700"/>
        </w:tabs>
        <w:wordWrap w:val="0"/>
        <w:overflowPunct w:val="0"/>
        <w:spacing w:line="560" w:lineRule="exact"/>
        <w:rPr>
          <w:rFonts w:hint="eastAsia" w:ascii="仿宋_GB2312" w:hAnsi="黑体" w:eastAsia="仿宋_GB2312"/>
          <w:sz w:val="32"/>
          <w:szCs w:val="32"/>
        </w:rPr>
      </w:pPr>
    </w:p>
    <w:p w14:paraId="09FC8257">
      <w:pPr>
        <w:tabs>
          <w:tab w:val="left" w:pos="700"/>
        </w:tabs>
        <w:wordWrap w:val="0"/>
        <w:overflowPunct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附件：海南华琨实业开发有限公司公开比选常年法律顾问项目比选文件</w:t>
      </w:r>
    </w:p>
    <w:p w14:paraId="3720EC71">
      <w:pPr>
        <w:tabs>
          <w:tab w:val="left" w:pos="700"/>
        </w:tabs>
        <w:wordWrap w:val="0"/>
        <w:overflowPunct w:val="0"/>
        <w:spacing w:line="560" w:lineRule="exact"/>
        <w:rPr>
          <w:rFonts w:hint="eastAsia" w:ascii="仿宋_GB2312" w:hAnsi="黑体" w:eastAsia="仿宋_GB2312"/>
          <w:sz w:val="32"/>
          <w:szCs w:val="32"/>
        </w:rPr>
      </w:pPr>
    </w:p>
    <w:p w14:paraId="051B84AB">
      <w:pPr>
        <w:tabs>
          <w:tab w:val="left" w:pos="700"/>
        </w:tabs>
        <w:wordWrap w:val="0"/>
        <w:overflowPunct w:val="0"/>
        <w:spacing w:line="560" w:lineRule="exact"/>
        <w:rPr>
          <w:rFonts w:hint="eastAsia" w:ascii="仿宋_GB2312" w:hAnsi="黑体" w:eastAsia="仿宋_GB2312"/>
          <w:sz w:val="32"/>
          <w:szCs w:val="32"/>
        </w:rPr>
      </w:pPr>
    </w:p>
    <w:p w14:paraId="0BBD50E4">
      <w:pPr>
        <w:tabs>
          <w:tab w:val="left" w:pos="700"/>
        </w:tabs>
        <w:wordWrap w:val="0"/>
        <w:overflowPunct w:val="0"/>
        <w:spacing w:line="560" w:lineRule="exact"/>
        <w:ind w:firstLine="1600" w:firstLineChars="500"/>
        <w:jc w:val="right"/>
        <w:rPr>
          <w:rFonts w:hint="eastAsia" w:ascii="仿宋_GB2312" w:hAnsi="黑体" w:eastAsia="仿宋_GB2312"/>
          <w:sz w:val="32"/>
          <w:szCs w:val="32"/>
        </w:rPr>
      </w:pPr>
      <w:r>
        <w:rPr>
          <w:rFonts w:hint="eastAsia" w:ascii="仿宋_GB2312" w:hAnsi="黑体" w:eastAsia="仿宋_GB2312"/>
          <w:sz w:val="32"/>
          <w:szCs w:val="32"/>
        </w:rPr>
        <w:t>海南华琨实业开发有限公司</w:t>
      </w:r>
    </w:p>
    <w:p w14:paraId="78D4FA37">
      <w:pPr>
        <w:tabs>
          <w:tab w:val="left" w:pos="700"/>
        </w:tabs>
        <w:wordWrap w:val="0"/>
        <w:overflowPunct w:val="0"/>
        <w:spacing w:line="560" w:lineRule="exact"/>
        <w:ind w:firstLine="1600" w:firstLineChars="500"/>
        <w:jc w:val="right"/>
        <w:rPr>
          <w:rFonts w:hint="eastAsia" w:ascii="仿宋_GB2312" w:hAnsi="黑体" w:eastAsia="仿宋_GB2312"/>
          <w:sz w:val="32"/>
          <w:szCs w:val="32"/>
        </w:rPr>
      </w:pPr>
      <w:r>
        <w:rPr>
          <w:rFonts w:hint="eastAsia" w:ascii="仿宋_GB2312" w:hAnsi="黑体" w:eastAsia="仿宋_GB2312"/>
          <w:sz w:val="32"/>
          <w:szCs w:val="32"/>
        </w:rPr>
        <w:t>2026年4月10日</w:t>
      </w:r>
    </w:p>
    <w:p w14:paraId="1D90037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bookmarkEnd w:id="8"/>
    <w:p w14:paraId="38E102CF">
      <w:pPr>
        <w:pStyle w:val="2"/>
        <w:wordWrap w:val="0"/>
        <w:overflowPunct w:val="0"/>
        <w:spacing w:before="0" w:after="0" w:line="560" w:lineRule="exact"/>
        <w:jc w:val="center"/>
        <w:rPr>
          <w:rFonts w:hint="eastAsia" w:ascii="黑体" w:hAnsi="黑体" w:eastAsia="黑体" w:cs="黑体"/>
          <w:b w:val="0"/>
          <w:bCs w:val="0"/>
        </w:rPr>
      </w:pPr>
      <w:bookmarkStart w:id="13" w:name="_Toc81784906"/>
      <w:bookmarkStart w:id="14" w:name="_Toc31223"/>
      <w:r>
        <w:rPr>
          <w:rFonts w:hint="eastAsia" w:ascii="黑体" w:hAnsi="黑体" w:eastAsia="黑体" w:cs="黑体"/>
          <w:b w:val="0"/>
          <w:bCs w:val="0"/>
        </w:rPr>
        <w:t>第二章</w:t>
      </w:r>
      <w:bookmarkEnd w:id="9"/>
      <w:r>
        <w:rPr>
          <w:rFonts w:hint="eastAsia" w:ascii="黑体" w:hAnsi="黑体" w:eastAsia="黑体" w:cs="黑体"/>
          <w:b w:val="0"/>
          <w:bCs w:val="0"/>
        </w:rPr>
        <w:t xml:space="preserve"> 参选须知</w:t>
      </w:r>
      <w:bookmarkEnd w:id="13"/>
      <w:bookmarkEnd w:id="14"/>
    </w:p>
    <w:p w14:paraId="2B35833C">
      <w:pPr>
        <w:wordWrap w:val="0"/>
        <w:overflowPunct w:val="0"/>
        <w:spacing w:line="560" w:lineRule="exact"/>
        <w:rPr>
          <w:rFonts w:hint="eastAsia" w:ascii="仿宋_GB2312" w:hAnsi="仿宋_GB2312" w:eastAsia="仿宋_GB2312" w:cs="仿宋_GB2312"/>
          <w:sz w:val="32"/>
          <w:szCs w:val="32"/>
        </w:rPr>
      </w:pPr>
      <w:bookmarkStart w:id="15" w:name="_Toc81784910"/>
      <w:bookmarkStart w:id="16" w:name="_Toc22742"/>
    </w:p>
    <w:p w14:paraId="3EF86BF0">
      <w:pPr>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一、参选须知前附表</w:t>
      </w:r>
    </w:p>
    <w:tbl>
      <w:tblPr>
        <w:tblStyle w:val="29"/>
        <w:tblW w:w="91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718"/>
        <w:gridCol w:w="1702"/>
        <w:gridCol w:w="4999"/>
      </w:tblGrid>
      <w:tr w14:paraId="7CEBE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dxa"/>
            <w:vAlign w:val="center"/>
          </w:tcPr>
          <w:p w14:paraId="5B51B98B">
            <w:pPr>
              <w:widowControl/>
              <w:overflowPunct w:val="0"/>
              <w:spacing w:line="460" w:lineRule="exact"/>
              <w:jc w:val="center"/>
              <w:rPr>
                <w:rFonts w:hint="eastAsia" w:ascii="黑体" w:hAnsi="黑体" w:eastAsia="黑体" w:cs="黑体"/>
                <w:sz w:val="32"/>
                <w:szCs w:val="32"/>
              </w:rPr>
            </w:pPr>
            <w:r>
              <w:rPr>
                <w:rFonts w:hint="eastAsia" w:ascii="黑体" w:hAnsi="黑体" w:eastAsia="黑体" w:cs="黑体"/>
                <w:sz w:val="32"/>
                <w:szCs w:val="32"/>
              </w:rPr>
              <w:t>序号</w:t>
            </w:r>
          </w:p>
        </w:tc>
        <w:tc>
          <w:tcPr>
            <w:tcW w:w="1718" w:type="dxa"/>
            <w:vAlign w:val="center"/>
          </w:tcPr>
          <w:p w14:paraId="6947DDCA">
            <w:pPr>
              <w:widowControl/>
              <w:overflowPunct w:val="0"/>
              <w:spacing w:line="460" w:lineRule="exact"/>
              <w:jc w:val="center"/>
              <w:rPr>
                <w:rFonts w:hint="eastAsia" w:ascii="黑体" w:hAnsi="黑体" w:eastAsia="黑体" w:cs="黑体"/>
                <w:sz w:val="32"/>
                <w:szCs w:val="32"/>
              </w:rPr>
            </w:pPr>
            <w:r>
              <w:rPr>
                <w:rFonts w:hint="eastAsia" w:ascii="黑体" w:hAnsi="黑体" w:eastAsia="黑体" w:cs="黑体"/>
                <w:sz w:val="32"/>
                <w:szCs w:val="32"/>
              </w:rPr>
              <w:t>内容</w:t>
            </w:r>
          </w:p>
        </w:tc>
        <w:tc>
          <w:tcPr>
            <w:tcW w:w="6701" w:type="dxa"/>
            <w:gridSpan w:val="2"/>
            <w:vAlign w:val="center"/>
          </w:tcPr>
          <w:p w14:paraId="0514757D">
            <w:pPr>
              <w:widowControl/>
              <w:overflowPunct w:val="0"/>
              <w:spacing w:line="460" w:lineRule="exact"/>
              <w:jc w:val="center"/>
              <w:rPr>
                <w:rFonts w:hint="eastAsia" w:ascii="黑体" w:hAnsi="黑体" w:eastAsia="黑体" w:cs="黑体"/>
                <w:sz w:val="32"/>
                <w:szCs w:val="32"/>
              </w:rPr>
            </w:pPr>
            <w:r>
              <w:rPr>
                <w:rFonts w:hint="eastAsia" w:ascii="黑体" w:hAnsi="黑体" w:eastAsia="黑体" w:cs="黑体"/>
                <w:sz w:val="32"/>
                <w:szCs w:val="32"/>
              </w:rPr>
              <w:t>说明要求</w:t>
            </w:r>
          </w:p>
        </w:tc>
      </w:tr>
      <w:tr w14:paraId="74807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93" w:type="dxa"/>
            <w:vMerge w:val="restart"/>
            <w:vAlign w:val="center"/>
          </w:tcPr>
          <w:p w14:paraId="0202AD47">
            <w:pPr>
              <w:widowControl/>
              <w:overflowPunct w:val="0"/>
              <w:spacing w:line="4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1718" w:type="dxa"/>
            <w:vMerge w:val="restart"/>
            <w:vAlign w:val="center"/>
          </w:tcPr>
          <w:p w14:paraId="3BBE40C1">
            <w:pPr>
              <w:widowControl/>
              <w:overflowPunct w:val="0"/>
              <w:spacing w:line="4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项目概况</w:t>
            </w:r>
          </w:p>
        </w:tc>
        <w:tc>
          <w:tcPr>
            <w:tcW w:w="1702" w:type="dxa"/>
            <w:tcBorders>
              <w:right w:val="single" w:color="000000" w:sz="6" w:space="0"/>
            </w:tcBorders>
            <w:vAlign w:val="center"/>
          </w:tcPr>
          <w:p w14:paraId="0CC6FC4B">
            <w:pPr>
              <w:widowControl/>
              <w:overflowPunct w:val="0"/>
              <w:snapToGrid w:val="0"/>
              <w:spacing w:line="4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项目名称</w:t>
            </w:r>
          </w:p>
        </w:tc>
        <w:tc>
          <w:tcPr>
            <w:tcW w:w="4999" w:type="dxa"/>
            <w:tcBorders>
              <w:left w:val="single" w:color="000000" w:sz="6" w:space="0"/>
            </w:tcBorders>
            <w:vAlign w:val="center"/>
          </w:tcPr>
          <w:p w14:paraId="48C97B00">
            <w:pPr>
              <w:widowControl/>
              <w:overflowPunct w:val="0"/>
              <w:snapToGrid w:val="0"/>
              <w:spacing w:line="4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海南华琨实业开发有限公司公开比选常年法律顾问</w:t>
            </w:r>
          </w:p>
        </w:tc>
      </w:tr>
      <w:tr w14:paraId="1AF54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93" w:type="dxa"/>
            <w:vMerge w:val="continue"/>
            <w:vAlign w:val="center"/>
          </w:tcPr>
          <w:p w14:paraId="7FCF8BA4">
            <w:pPr>
              <w:widowControl/>
              <w:overflowPunct w:val="0"/>
              <w:spacing w:line="460" w:lineRule="exact"/>
              <w:jc w:val="center"/>
              <w:rPr>
                <w:rFonts w:hint="eastAsia" w:ascii="仿宋_GB2312" w:hAnsi="仿宋_GB2312" w:eastAsia="仿宋_GB2312" w:cs="仿宋_GB2312"/>
                <w:sz w:val="32"/>
                <w:szCs w:val="32"/>
              </w:rPr>
            </w:pPr>
          </w:p>
        </w:tc>
        <w:tc>
          <w:tcPr>
            <w:tcW w:w="1718" w:type="dxa"/>
            <w:vMerge w:val="continue"/>
            <w:vAlign w:val="center"/>
          </w:tcPr>
          <w:p w14:paraId="582CFEB3">
            <w:pPr>
              <w:widowControl/>
              <w:overflowPunct w:val="0"/>
              <w:spacing w:line="460" w:lineRule="exact"/>
              <w:jc w:val="center"/>
              <w:rPr>
                <w:rFonts w:hint="eastAsia" w:ascii="仿宋_GB2312" w:hAnsi="仿宋_GB2312" w:eastAsia="仿宋_GB2312" w:cs="仿宋_GB2312"/>
                <w:sz w:val="32"/>
                <w:szCs w:val="32"/>
              </w:rPr>
            </w:pPr>
          </w:p>
        </w:tc>
        <w:tc>
          <w:tcPr>
            <w:tcW w:w="1702" w:type="dxa"/>
            <w:tcBorders>
              <w:right w:val="single" w:color="000000" w:sz="6" w:space="0"/>
            </w:tcBorders>
            <w:vAlign w:val="center"/>
          </w:tcPr>
          <w:p w14:paraId="5133F710">
            <w:pPr>
              <w:widowControl/>
              <w:overflowPunct w:val="0"/>
              <w:snapToGrid w:val="0"/>
              <w:spacing w:line="4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项目概述</w:t>
            </w:r>
          </w:p>
        </w:tc>
        <w:tc>
          <w:tcPr>
            <w:tcW w:w="4999" w:type="dxa"/>
            <w:tcBorders>
              <w:left w:val="single" w:color="000000" w:sz="6" w:space="0"/>
            </w:tcBorders>
            <w:vAlign w:val="center"/>
          </w:tcPr>
          <w:p w14:paraId="5199F914">
            <w:pPr>
              <w:widowControl/>
              <w:overflowPunct w:val="0"/>
              <w:snapToGrid w:val="0"/>
              <w:spacing w:line="4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通过本次公开比选选聘1家律师事务所，作为公司常年法律顾问单位，为公司提供常年法律服务</w:t>
            </w:r>
          </w:p>
        </w:tc>
      </w:tr>
      <w:tr w14:paraId="73936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dxa"/>
            <w:vMerge w:val="continue"/>
            <w:vAlign w:val="center"/>
          </w:tcPr>
          <w:p w14:paraId="4F99F54A">
            <w:pPr>
              <w:widowControl/>
              <w:overflowPunct w:val="0"/>
              <w:spacing w:line="460" w:lineRule="exact"/>
              <w:jc w:val="center"/>
              <w:rPr>
                <w:rFonts w:hint="eastAsia" w:ascii="仿宋_GB2312" w:hAnsi="仿宋_GB2312" w:eastAsia="仿宋_GB2312" w:cs="仿宋_GB2312"/>
                <w:sz w:val="32"/>
                <w:szCs w:val="32"/>
              </w:rPr>
            </w:pPr>
          </w:p>
        </w:tc>
        <w:tc>
          <w:tcPr>
            <w:tcW w:w="1718" w:type="dxa"/>
            <w:vMerge w:val="continue"/>
            <w:vAlign w:val="center"/>
          </w:tcPr>
          <w:p w14:paraId="6064049A">
            <w:pPr>
              <w:widowControl/>
              <w:overflowPunct w:val="0"/>
              <w:spacing w:line="460" w:lineRule="exact"/>
              <w:jc w:val="center"/>
              <w:rPr>
                <w:rFonts w:hint="eastAsia" w:ascii="仿宋_GB2312" w:hAnsi="仿宋_GB2312" w:eastAsia="仿宋_GB2312" w:cs="仿宋_GB2312"/>
                <w:sz w:val="32"/>
                <w:szCs w:val="32"/>
              </w:rPr>
            </w:pPr>
          </w:p>
        </w:tc>
        <w:tc>
          <w:tcPr>
            <w:tcW w:w="1702" w:type="dxa"/>
            <w:tcBorders>
              <w:right w:val="single" w:color="000000" w:sz="6" w:space="0"/>
            </w:tcBorders>
            <w:vAlign w:val="center"/>
          </w:tcPr>
          <w:p w14:paraId="78117749">
            <w:pPr>
              <w:widowControl/>
              <w:overflowPunct w:val="0"/>
              <w:spacing w:line="4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服务期限</w:t>
            </w:r>
          </w:p>
        </w:tc>
        <w:tc>
          <w:tcPr>
            <w:tcW w:w="4999" w:type="dxa"/>
            <w:tcBorders>
              <w:left w:val="single" w:color="000000" w:sz="6" w:space="0"/>
            </w:tcBorders>
            <w:vAlign w:val="center"/>
          </w:tcPr>
          <w:p w14:paraId="511A2893">
            <w:pPr>
              <w:widowControl/>
              <w:overflowPunct w:val="0"/>
              <w:spacing w:line="460" w:lineRule="exact"/>
              <w:rPr>
                <w:rFonts w:hint="eastAsia" w:ascii="仿宋_GB2312" w:hAnsi="仿宋_GB2312" w:eastAsia="仿宋_GB2312" w:cs="仿宋_GB2312"/>
                <w:sz w:val="32"/>
                <w:szCs w:val="32"/>
              </w:rPr>
            </w:pPr>
            <w:r>
              <w:rPr>
                <w:rFonts w:hint="eastAsia" w:ascii="仿宋_GB2312" w:hAnsi="仿宋_GB2312" w:eastAsia="仿宋_GB2312" w:cs="仿宋_GB2312"/>
                <w:spacing w:val="8"/>
                <w:sz w:val="32"/>
                <w:szCs w:val="32"/>
                <w:shd w:val="clear" w:color="auto" w:fill="FFFFFF"/>
              </w:rPr>
              <w:t>根据服务合同约定（每年一签，不超过两年）</w:t>
            </w:r>
          </w:p>
        </w:tc>
      </w:tr>
      <w:tr w14:paraId="034CA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693" w:type="dxa"/>
            <w:vMerge w:val="continue"/>
            <w:vAlign w:val="center"/>
          </w:tcPr>
          <w:p w14:paraId="7A24F696">
            <w:pPr>
              <w:widowControl/>
              <w:overflowPunct w:val="0"/>
              <w:spacing w:line="460" w:lineRule="exact"/>
              <w:jc w:val="center"/>
              <w:rPr>
                <w:rFonts w:hint="eastAsia" w:ascii="仿宋_GB2312" w:hAnsi="仿宋_GB2312" w:eastAsia="仿宋_GB2312" w:cs="仿宋_GB2312"/>
                <w:sz w:val="32"/>
                <w:szCs w:val="32"/>
              </w:rPr>
            </w:pPr>
          </w:p>
        </w:tc>
        <w:tc>
          <w:tcPr>
            <w:tcW w:w="1718" w:type="dxa"/>
            <w:vMerge w:val="continue"/>
            <w:vAlign w:val="center"/>
          </w:tcPr>
          <w:p w14:paraId="7714DF96">
            <w:pPr>
              <w:widowControl/>
              <w:overflowPunct w:val="0"/>
              <w:spacing w:line="460" w:lineRule="exact"/>
              <w:jc w:val="center"/>
              <w:rPr>
                <w:rFonts w:hint="eastAsia" w:ascii="仿宋_GB2312" w:hAnsi="仿宋_GB2312" w:eastAsia="仿宋_GB2312" w:cs="仿宋_GB2312"/>
                <w:sz w:val="32"/>
                <w:szCs w:val="32"/>
              </w:rPr>
            </w:pPr>
          </w:p>
        </w:tc>
        <w:tc>
          <w:tcPr>
            <w:tcW w:w="1702" w:type="dxa"/>
            <w:tcBorders>
              <w:right w:val="single" w:color="000000" w:sz="6" w:space="0"/>
            </w:tcBorders>
            <w:vAlign w:val="center"/>
          </w:tcPr>
          <w:p w14:paraId="76D26A83">
            <w:pPr>
              <w:widowControl/>
              <w:overflowPunct w:val="0"/>
              <w:spacing w:line="4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服务价格</w:t>
            </w:r>
          </w:p>
        </w:tc>
        <w:tc>
          <w:tcPr>
            <w:tcW w:w="4999" w:type="dxa"/>
            <w:tcBorders>
              <w:left w:val="single" w:color="000000" w:sz="6" w:space="0"/>
            </w:tcBorders>
            <w:vAlign w:val="center"/>
          </w:tcPr>
          <w:p w14:paraId="014D0886">
            <w:pPr>
              <w:widowControl/>
              <w:overflowPunct w:val="0"/>
              <w:spacing w:line="4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采购控制价不超过人民币4万元/年（包含税费、差旅费等一切费用）。</w:t>
            </w:r>
          </w:p>
        </w:tc>
      </w:tr>
      <w:tr w14:paraId="189F0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693" w:type="dxa"/>
            <w:vMerge w:val="continue"/>
            <w:vAlign w:val="center"/>
          </w:tcPr>
          <w:p w14:paraId="2E2BD5EF">
            <w:pPr>
              <w:widowControl/>
              <w:overflowPunct w:val="0"/>
              <w:spacing w:line="460" w:lineRule="exact"/>
              <w:jc w:val="center"/>
              <w:rPr>
                <w:rFonts w:hint="eastAsia" w:ascii="仿宋_GB2312" w:hAnsi="仿宋_GB2312" w:eastAsia="仿宋_GB2312" w:cs="仿宋_GB2312"/>
                <w:sz w:val="32"/>
                <w:szCs w:val="32"/>
              </w:rPr>
            </w:pPr>
          </w:p>
        </w:tc>
        <w:tc>
          <w:tcPr>
            <w:tcW w:w="1718" w:type="dxa"/>
            <w:vMerge w:val="continue"/>
            <w:vAlign w:val="center"/>
          </w:tcPr>
          <w:p w14:paraId="62BAF225">
            <w:pPr>
              <w:widowControl/>
              <w:overflowPunct w:val="0"/>
              <w:spacing w:line="460" w:lineRule="exact"/>
              <w:jc w:val="center"/>
              <w:rPr>
                <w:rFonts w:hint="eastAsia" w:ascii="仿宋_GB2312" w:hAnsi="仿宋_GB2312" w:eastAsia="仿宋_GB2312" w:cs="仿宋_GB2312"/>
                <w:sz w:val="32"/>
                <w:szCs w:val="32"/>
              </w:rPr>
            </w:pPr>
          </w:p>
        </w:tc>
        <w:tc>
          <w:tcPr>
            <w:tcW w:w="1702" w:type="dxa"/>
            <w:tcBorders>
              <w:right w:val="single" w:color="000000" w:sz="6" w:space="0"/>
            </w:tcBorders>
            <w:vAlign w:val="center"/>
          </w:tcPr>
          <w:p w14:paraId="38E86F76">
            <w:pPr>
              <w:widowControl/>
              <w:overflowPunct w:val="0"/>
              <w:spacing w:line="4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选聘数量</w:t>
            </w:r>
          </w:p>
        </w:tc>
        <w:tc>
          <w:tcPr>
            <w:tcW w:w="4999" w:type="dxa"/>
            <w:tcBorders>
              <w:left w:val="single" w:color="000000" w:sz="6" w:space="0"/>
            </w:tcBorders>
            <w:vAlign w:val="center"/>
          </w:tcPr>
          <w:p w14:paraId="4808E752">
            <w:pPr>
              <w:widowControl/>
              <w:overflowPunct w:val="0"/>
              <w:spacing w:line="4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1家律师事务所（不接受联合体参选）</w:t>
            </w:r>
          </w:p>
        </w:tc>
      </w:tr>
      <w:tr w14:paraId="2ED8C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693" w:type="dxa"/>
            <w:vAlign w:val="center"/>
          </w:tcPr>
          <w:p w14:paraId="28AACC0B">
            <w:pPr>
              <w:widowControl/>
              <w:overflowPunct w:val="0"/>
              <w:spacing w:line="4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p>
        </w:tc>
        <w:tc>
          <w:tcPr>
            <w:tcW w:w="1718" w:type="dxa"/>
            <w:vAlign w:val="center"/>
          </w:tcPr>
          <w:p w14:paraId="3B627D91">
            <w:pPr>
              <w:widowControl/>
              <w:overflowPunct w:val="0"/>
              <w:spacing w:line="4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项目内容</w:t>
            </w:r>
          </w:p>
        </w:tc>
        <w:tc>
          <w:tcPr>
            <w:tcW w:w="6701" w:type="dxa"/>
            <w:gridSpan w:val="2"/>
            <w:vAlign w:val="center"/>
          </w:tcPr>
          <w:p w14:paraId="4C77E6A9">
            <w:pPr>
              <w:widowControl/>
              <w:overflowPunct w:val="0"/>
              <w:spacing w:line="4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详见采购公告。</w:t>
            </w:r>
          </w:p>
        </w:tc>
      </w:tr>
      <w:tr w14:paraId="5880E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693" w:type="dxa"/>
            <w:vAlign w:val="center"/>
          </w:tcPr>
          <w:p w14:paraId="4DCCE4DD">
            <w:pPr>
              <w:widowControl/>
              <w:overflowPunct w:val="0"/>
              <w:spacing w:line="4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p>
        </w:tc>
        <w:tc>
          <w:tcPr>
            <w:tcW w:w="1718" w:type="dxa"/>
            <w:vAlign w:val="center"/>
          </w:tcPr>
          <w:p w14:paraId="4874C156">
            <w:pPr>
              <w:widowControl/>
              <w:overflowPunct w:val="0"/>
              <w:spacing w:line="4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项目要求</w:t>
            </w:r>
          </w:p>
        </w:tc>
        <w:tc>
          <w:tcPr>
            <w:tcW w:w="6701" w:type="dxa"/>
            <w:gridSpan w:val="2"/>
            <w:vAlign w:val="center"/>
          </w:tcPr>
          <w:p w14:paraId="4229CBEC">
            <w:pPr>
              <w:pStyle w:val="51"/>
              <w:overflowPunct w:val="0"/>
              <w:spacing w:line="460" w:lineRule="exact"/>
              <w:jc w:val="both"/>
              <w:rPr>
                <w:rFonts w:hint="eastAsia" w:ascii="仿宋_GB2312" w:hAnsi="仿宋_GB2312" w:eastAsia="仿宋_GB2312" w:cs="仿宋_GB2312"/>
                <w:sz w:val="32"/>
                <w:szCs w:val="32"/>
                <w:lang w:eastAsia="zh-CN" w:bidi="ar-SA"/>
              </w:rPr>
            </w:pPr>
            <w:r>
              <w:rPr>
                <w:rFonts w:hint="eastAsia" w:ascii="仿宋_GB2312" w:hAnsi="仿宋_GB2312" w:eastAsia="仿宋_GB2312" w:cs="仿宋_GB2312"/>
                <w:sz w:val="32"/>
                <w:szCs w:val="32"/>
                <w:lang w:eastAsia="zh-CN" w:bidi="ar-SA"/>
              </w:rPr>
              <w:t>详见采购公告。</w:t>
            </w:r>
          </w:p>
        </w:tc>
      </w:tr>
      <w:tr w14:paraId="4DB18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jc w:val="center"/>
        </w:trPr>
        <w:tc>
          <w:tcPr>
            <w:tcW w:w="693" w:type="dxa"/>
            <w:vMerge w:val="restart"/>
            <w:vAlign w:val="center"/>
          </w:tcPr>
          <w:p w14:paraId="63611B06">
            <w:pPr>
              <w:widowControl/>
              <w:overflowPunct w:val="0"/>
              <w:spacing w:line="460" w:lineRule="exact"/>
              <w:jc w:val="center"/>
              <w:rPr>
                <w:rFonts w:hint="eastAsia" w:ascii="仿宋_GB2312" w:hAnsi="仿宋_GB2312" w:eastAsia="仿宋_GB2312" w:cs="仿宋_GB2312"/>
                <w:sz w:val="32"/>
                <w:szCs w:val="32"/>
              </w:rPr>
            </w:pPr>
            <w:bookmarkStart w:id="17" w:name="_Toc81784908"/>
            <w:r>
              <w:rPr>
                <w:rFonts w:hint="eastAsia" w:ascii="仿宋_GB2312" w:hAnsi="仿宋_GB2312" w:eastAsia="仿宋_GB2312" w:cs="仿宋_GB2312"/>
                <w:sz w:val="32"/>
                <w:szCs w:val="32"/>
              </w:rPr>
              <w:t>4</w:t>
            </w:r>
          </w:p>
        </w:tc>
        <w:tc>
          <w:tcPr>
            <w:tcW w:w="1718" w:type="dxa"/>
            <w:vMerge w:val="restart"/>
            <w:vAlign w:val="center"/>
          </w:tcPr>
          <w:p w14:paraId="1F56AFB1">
            <w:pPr>
              <w:widowControl/>
              <w:overflowPunct w:val="0"/>
              <w:spacing w:line="4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比选评审要求</w:t>
            </w:r>
          </w:p>
        </w:tc>
        <w:tc>
          <w:tcPr>
            <w:tcW w:w="1702" w:type="dxa"/>
            <w:tcBorders>
              <w:right w:val="single" w:color="000000" w:sz="6" w:space="0"/>
            </w:tcBorders>
            <w:vAlign w:val="center"/>
          </w:tcPr>
          <w:p w14:paraId="5B9ECC1A">
            <w:pPr>
              <w:pStyle w:val="13"/>
              <w:widowControl/>
              <w:overflowPunct w:val="0"/>
              <w:spacing w:line="460" w:lineRule="exact"/>
              <w:ind w:firstLine="0" w:firstLineChars="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资格审查</w:t>
            </w:r>
          </w:p>
        </w:tc>
        <w:tc>
          <w:tcPr>
            <w:tcW w:w="4999" w:type="dxa"/>
            <w:tcBorders>
              <w:left w:val="single" w:color="000000" w:sz="6" w:space="0"/>
            </w:tcBorders>
            <w:vAlign w:val="center"/>
          </w:tcPr>
          <w:p w14:paraId="7608E120">
            <w:pPr>
              <w:pStyle w:val="13"/>
              <w:widowControl/>
              <w:overflowPunct w:val="0"/>
              <w:spacing w:line="460" w:lineRule="exact"/>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评审小组根据比选文件要求，对参选人的资格条件进行审查，只有通过资格审查才能进入综合评审。</w:t>
            </w:r>
          </w:p>
        </w:tc>
      </w:tr>
      <w:tr w14:paraId="7E1B4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693" w:type="dxa"/>
            <w:vMerge w:val="continue"/>
            <w:vAlign w:val="center"/>
          </w:tcPr>
          <w:p w14:paraId="2E98E1AA">
            <w:pPr>
              <w:widowControl/>
              <w:overflowPunct w:val="0"/>
              <w:spacing w:line="460" w:lineRule="exact"/>
              <w:jc w:val="center"/>
              <w:rPr>
                <w:rFonts w:hint="eastAsia" w:ascii="仿宋_GB2312" w:hAnsi="仿宋_GB2312" w:eastAsia="仿宋_GB2312" w:cs="仿宋_GB2312"/>
                <w:sz w:val="32"/>
                <w:szCs w:val="32"/>
              </w:rPr>
            </w:pPr>
          </w:p>
        </w:tc>
        <w:tc>
          <w:tcPr>
            <w:tcW w:w="1718" w:type="dxa"/>
            <w:vMerge w:val="continue"/>
            <w:vAlign w:val="center"/>
          </w:tcPr>
          <w:p w14:paraId="3A15FBD8">
            <w:pPr>
              <w:widowControl/>
              <w:overflowPunct w:val="0"/>
              <w:spacing w:line="460" w:lineRule="exact"/>
              <w:jc w:val="center"/>
              <w:rPr>
                <w:rFonts w:hint="eastAsia" w:ascii="仿宋_GB2312" w:hAnsi="仿宋_GB2312" w:eastAsia="仿宋_GB2312" w:cs="仿宋_GB2312"/>
                <w:sz w:val="32"/>
                <w:szCs w:val="32"/>
              </w:rPr>
            </w:pPr>
          </w:p>
        </w:tc>
        <w:tc>
          <w:tcPr>
            <w:tcW w:w="1702" w:type="dxa"/>
            <w:tcBorders>
              <w:right w:val="single" w:color="000000" w:sz="6" w:space="0"/>
            </w:tcBorders>
            <w:vAlign w:val="center"/>
          </w:tcPr>
          <w:p w14:paraId="786B5313">
            <w:pPr>
              <w:pStyle w:val="13"/>
              <w:widowControl/>
              <w:overflowPunct w:val="0"/>
              <w:spacing w:line="460" w:lineRule="exact"/>
              <w:ind w:firstLine="0" w:firstLineChars="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综合评审</w:t>
            </w:r>
          </w:p>
        </w:tc>
        <w:tc>
          <w:tcPr>
            <w:tcW w:w="4999" w:type="dxa"/>
            <w:tcBorders>
              <w:left w:val="single" w:color="000000" w:sz="6" w:space="0"/>
            </w:tcBorders>
            <w:vAlign w:val="center"/>
          </w:tcPr>
          <w:p w14:paraId="485EF64A">
            <w:pPr>
              <w:pStyle w:val="13"/>
              <w:widowControl/>
              <w:overflowPunct w:val="0"/>
              <w:spacing w:line="460" w:lineRule="exact"/>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采用综合评分法，评审小组根据比选文件量化因素、分值要求，对参选文件的内容进行综合评价打分并计算出综合得分。</w:t>
            </w:r>
          </w:p>
        </w:tc>
      </w:tr>
    </w:tbl>
    <w:p w14:paraId="789C616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225149B8">
      <w:pPr>
        <w:widowControl/>
        <w:overflowPunct w:val="0"/>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二、比选文件</w:t>
      </w:r>
      <w:bookmarkEnd w:id="17"/>
    </w:p>
    <w:p w14:paraId="2385CC38">
      <w:pPr>
        <w:widowControl/>
        <w:overflowPunct w:val="0"/>
        <w:snapToGrid w:val="0"/>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 比选文件的组成</w:t>
      </w:r>
    </w:p>
    <w:p w14:paraId="5EF858E8">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 比选文件主要包括下列内容：</w:t>
      </w:r>
    </w:p>
    <w:p w14:paraId="7877B0F1">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（一）采购公告</w:t>
      </w:r>
    </w:p>
    <w:p w14:paraId="22CC06A3">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（二）参选须知</w:t>
      </w:r>
    </w:p>
    <w:p w14:paraId="08276313">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（三）评审办法</w:t>
      </w:r>
    </w:p>
    <w:p w14:paraId="6A108ACB">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（四）合同文本</w:t>
      </w:r>
    </w:p>
    <w:p w14:paraId="17A9851C">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（五）参选文件格式</w:t>
      </w:r>
    </w:p>
    <w:p w14:paraId="5D644435">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 参选人应当认真阅读理解比选文件的规定和要求，按照比选文件的规定和要求编写参选文件；参选文件不符合比选文件的规定和要求的，有可能导致废选，参选人自行承担不利后果。</w:t>
      </w:r>
    </w:p>
    <w:p w14:paraId="6A999891">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 参选人应当认真阅读理解比选文件的规定和要求，比选文件是否准确、完整；若发现比选文件不清晰、缺页或不全时，应当及时向公司提出，以便公司补正。</w:t>
      </w:r>
    </w:p>
    <w:p w14:paraId="217EE16C">
      <w:pPr>
        <w:widowControl/>
        <w:overflowPunct w:val="0"/>
        <w:snapToGrid w:val="0"/>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 比选文件的澄清与解答</w:t>
      </w:r>
    </w:p>
    <w:p w14:paraId="1B9AB18C">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 参选人请求对比选文件进行必要的澄清或修改的，可以在获取比选文件后3日内或参选截止时间至少1日前，以书面形式向公司提交；公司经审查认为可能影响参选文件编制的，将在收到书面意见后3日内或参选截止时间至少1日前，以编号补正通知书的形式，在海南联合资产管理有限公司网站（http://www.hnlhzc.com/）公告补正。</w:t>
      </w:r>
    </w:p>
    <w:p w14:paraId="1899FC03">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 公司以书面形式发出对比选文件的澄清或修改内容，均为比选文件的组成部分，对公司和参选人具有约束作用。</w:t>
      </w:r>
    </w:p>
    <w:p w14:paraId="6665C2C0">
      <w:pPr>
        <w:rPr>
          <w:rFonts w:hint="eastAsia" w:ascii="黑体" w:hAnsi="黑体" w:eastAsia="黑体" w:cs="黑体"/>
          <w:sz w:val="32"/>
          <w:szCs w:val="32"/>
        </w:rPr>
      </w:pPr>
      <w:r>
        <w:rPr>
          <w:rFonts w:hint="eastAsia" w:ascii="黑体" w:hAnsi="黑体" w:eastAsia="黑体" w:cs="黑体"/>
          <w:sz w:val="32"/>
          <w:szCs w:val="32"/>
        </w:rPr>
        <w:br w:type="page"/>
      </w:r>
    </w:p>
    <w:p w14:paraId="68ED1A69">
      <w:pPr>
        <w:widowControl/>
        <w:overflowPunct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二、参选文件</w:t>
      </w:r>
    </w:p>
    <w:p w14:paraId="6B1B261A">
      <w:pPr>
        <w:widowControl/>
        <w:overflowPunct w:val="0"/>
        <w:snapToGrid w:val="0"/>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 参选文件的文字、度量衡单位</w:t>
      </w:r>
    </w:p>
    <w:p w14:paraId="0B91AC3C">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 参选文件应当使用中文；对不同文字文本的参选文件进行解释产生异议的，以中文文本为准。</w:t>
      </w:r>
    </w:p>
    <w:p w14:paraId="6E8925C7">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 参选文件中货币大写金额和小写金额不一致的，以大写金额为准。</w:t>
      </w:r>
    </w:p>
    <w:p w14:paraId="1E7B3509">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 参选文件使用的度量衡单位，均应采用中华人民共和国法定计量单位。</w:t>
      </w:r>
    </w:p>
    <w:p w14:paraId="77AE69EA">
      <w:pPr>
        <w:widowControl/>
        <w:overflowPunct w:val="0"/>
        <w:snapToGrid w:val="0"/>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 参选文件的组成</w:t>
      </w:r>
    </w:p>
    <w:p w14:paraId="7922396E">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参选人应当提供如下有关资料：</w:t>
      </w:r>
    </w:p>
    <w:p w14:paraId="310221E1">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 资格审查文件</w:t>
      </w:r>
    </w:p>
    <w:p w14:paraId="39DA8463">
      <w:pPr>
        <w:widowControl/>
        <w:overflowPunct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按照比选文件</w:t>
      </w:r>
      <w:r>
        <w:rPr>
          <w:rFonts w:hint="eastAsia" w:ascii="仿宋_GB2312" w:hAnsi="仿宋_GB2312" w:eastAsia="仿宋_GB2312" w:cs="仿宋_GB2312"/>
          <w:bCs/>
          <w:sz w:val="32"/>
          <w:szCs w:val="32"/>
        </w:rPr>
        <w:t>项目要求提供相应材料</w:t>
      </w:r>
      <w:r>
        <w:rPr>
          <w:rFonts w:hint="eastAsia" w:ascii="仿宋_GB2312" w:hAnsi="仿宋_GB2312" w:eastAsia="仿宋_GB2312" w:cs="仿宋_GB2312"/>
          <w:sz w:val="32"/>
          <w:szCs w:val="32"/>
        </w:rPr>
        <w:t>，并装订成册</w:t>
      </w:r>
      <w:r>
        <w:rPr>
          <w:rFonts w:hint="eastAsia" w:ascii="仿宋_GB2312" w:hAnsi="仿宋_GB2312" w:eastAsia="仿宋_GB2312" w:cs="仿宋_GB2312"/>
          <w:bCs/>
          <w:sz w:val="32"/>
          <w:szCs w:val="32"/>
        </w:rPr>
        <w:t>。</w:t>
      </w:r>
    </w:p>
    <w:p w14:paraId="0F15A707">
      <w:pPr>
        <w:widowControl/>
        <w:overflowPunct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2.2 综合评审文件</w:t>
      </w:r>
    </w:p>
    <w:p w14:paraId="4CB581F2">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按照比选文件评审要求提供相应资料，并装订成册。</w:t>
      </w:r>
    </w:p>
    <w:p w14:paraId="6A4708EA">
      <w:pPr>
        <w:widowControl/>
        <w:numPr>
          <w:ilvl w:val="0"/>
          <w:numId w:val="3"/>
        </w:numPr>
        <w:overflowPunct w:val="0"/>
        <w:snapToGrid w:val="0"/>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参选文件的格式要求</w:t>
      </w:r>
    </w:p>
    <w:p w14:paraId="422DD758">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 参选文件形式、份数</w:t>
      </w:r>
    </w:p>
    <w:p w14:paraId="73AB18BE">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参选文件应当分别提供电子版和纸质版。纸质版材料应提供正本壹份，副本贰份。</w:t>
      </w:r>
    </w:p>
    <w:p w14:paraId="05E11FB2">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 参选文件装订、密封</w:t>
      </w:r>
    </w:p>
    <w:p w14:paraId="2889AE15">
      <w:pPr>
        <w:pStyle w:val="20"/>
        <w:widowControl/>
        <w:pBdr>
          <w:top w:val="none" w:color="auto" w:sz="0" w:space="1"/>
          <w:left w:val="none" w:color="auto" w:sz="0" w:space="4"/>
          <w:bottom w:val="none" w:color="auto" w:sz="0" w:space="1"/>
          <w:right w:val="none" w:color="auto" w:sz="0" w:space="4"/>
        </w:pBdr>
        <w:overflowPunct w:val="0"/>
        <w:spacing w:line="52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（1）参选</w:t>
      </w:r>
      <w:r>
        <w:rPr>
          <w:rFonts w:hint="eastAsia" w:ascii="仿宋_GB2312" w:hAnsi="仿宋_GB2312" w:eastAsia="仿宋_GB2312" w:cs="仿宋_GB2312"/>
          <w:sz w:val="32"/>
          <w:szCs w:val="32"/>
        </w:rPr>
        <w:t>文件应</w:t>
      </w:r>
      <w:r>
        <w:rPr>
          <w:rFonts w:hint="eastAsia" w:ascii="仿宋_GB2312" w:hAnsi="仿宋_GB2312" w:eastAsia="仿宋_GB2312" w:cs="仿宋_GB2312"/>
          <w:sz w:val="32"/>
          <w:szCs w:val="32"/>
          <w:lang w:val="en-US"/>
        </w:rPr>
        <w:t>当</w:t>
      </w:r>
      <w:r>
        <w:rPr>
          <w:rFonts w:hint="eastAsia" w:ascii="仿宋_GB2312" w:hAnsi="仿宋_GB2312" w:eastAsia="仿宋_GB2312" w:cs="仿宋_GB2312"/>
          <w:sz w:val="32"/>
          <w:szCs w:val="32"/>
        </w:rPr>
        <w:t>统一</w:t>
      </w:r>
      <w:r>
        <w:rPr>
          <w:rFonts w:hint="eastAsia" w:ascii="仿宋_GB2312" w:hAnsi="仿宋_GB2312" w:eastAsia="仿宋_GB2312" w:cs="仿宋_GB2312"/>
          <w:sz w:val="32"/>
          <w:szCs w:val="32"/>
          <w:lang w:val="en-US"/>
        </w:rPr>
        <w:t>采</w:t>
      </w:r>
      <w:r>
        <w:rPr>
          <w:rFonts w:hint="eastAsia" w:ascii="仿宋_GB2312" w:hAnsi="仿宋_GB2312" w:eastAsia="仿宋_GB2312" w:cs="仿宋_GB2312"/>
          <w:sz w:val="32"/>
          <w:szCs w:val="32"/>
        </w:rPr>
        <w:t>用标准A4纸（图纸除外），装订成册，装入密封的信封或包装，在信封或包装上</w:t>
      </w:r>
      <w:r>
        <w:rPr>
          <w:rFonts w:hint="eastAsia" w:ascii="仿宋_GB2312" w:hAnsi="仿宋_GB2312" w:eastAsia="仿宋_GB2312" w:cs="仿宋_GB2312"/>
          <w:sz w:val="32"/>
          <w:szCs w:val="32"/>
          <w:lang w:val="en-US"/>
        </w:rPr>
        <w:t>粘贴封面，并</w:t>
      </w:r>
      <w:r>
        <w:rPr>
          <w:rFonts w:hint="eastAsia" w:ascii="仿宋_GB2312" w:hAnsi="仿宋_GB2312" w:eastAsia="仿宋_GB2312" w:cs="仿宋_GB2312"/>
          <w:sz w:val="32"/>
          <w:szCs w:val="32"/>
        </w:rPr>
        <w:t>标明项目名称、</w:t>
      </w:r>
      <w:r>
        <w:rPr>
          <w:rFonts w:hint="eastAsia" w:ascii="仿宋_GB2312" w:hAnsi="仿宋_GB2312" w:eastAsia="仿宋_GB2312" w:cs="仿宋_GB2312"/>
          <w:sz w:val="32"/>
          <w:szCs w:val="32"/>
          <w:lang w:val="en-US"/>
        </w:rPr>
        <w:t>参选人</w:t>
      </w:r>
      <w:r>
        <w:rPr>
          <w:rFonts w:hint="eastAsia" w:ascii="仿宋_GB2312" w:hAnsi="仿宋_GB2312" w:eastAsia="仿宋_GB2312" w:cs="仿宋_GB2312"/>
          <w:sz w:val="32"/>
          <w:szCs w:val="32"/>
        </w:rPr>
        <w:t>名称、联系地址</w:t>
      </w:r>
      <w:r>
        <w:rPr>
          <w:rFonts w:hint="eastAsia" w:ascii="仿宋_GB2312" w:hAnsi="仿宋_GB2312" w:eastAsia="仿宋_GB2312" w:cs="仿宋_GB2312"/>
          <w:sz w:val="32"/>
          <w:szCs w:val="32"/>
          <w:lang w:val="en-US"/>
        </w:rPr>
        <w:t>和</w:t>
      </w:r>
      <w:r>
        <w:rPr>
          <w:rFonts w:hint="eastAsia" w:ascii="仿宋_GB2312" w:hAnsi="仿宋_GB2312" w:eastAsia="仿宋_GB2312" w:cs="仿宋_GB2312"/>
          <w:sz w:val="32"/>
          <w:szCs w:val="32"/>
        </w:rPr>
        <w:t>方式、</w:t>
      </w:r>
      <w:r>
        <w:rPr>
          <w:rFonts w:hint="eastAsia" w:ascii="仿宋_GB2312" w:hAnsi="仿宋_GB2312" w:eastAsia="仿宋_GB2312" w:cs="仿宋_GB2312"/>
          <w:sz w:val="32"/>
          <w:szCs w:val="32"/>
          <w:lang w:val="en-US"/>
        </w:rPr>
        <w:t>参选日期</w:t>
      </w:r>
      <w:r>
        <w:rPr>
          <w:rFonts w:hint="eastAsia" w:ascii="仿宋_GB2312" w:hAnsi="仿宋_GB2312" w:eastAsia="仿宋_GB2312" w:cs="仿宋_GB2312"/>
          <w:sz w:val="32"/>
          <w:szCs w:val="32"/>
        </w:rPr>
        <w:t>，封口处加盖</w:t>
      </w:r>
      <w:r>
        <w:rPr>
          <w:rFonts w:hint="eastAsia" w:ascii="仿宋_GB2312" w:hAnsi="仿宋_GB2312" w:eastAsia="仿宋_GB2312" w:cs="仿宋_GB2312"/>
          <w:sz w:val="32"/>
          <w:szCs w:val="32"/>
          <w:lang w:val="en-US"/>
        </w:rPr>
        <w:t>参选人</w:t>
      </w:r>
      <w:r>
        <w:rPr>
          <w:rFonts w:hint="eastAsia" w:ascii="仿宋_GB2312" w:hAnsi="仿宋_GB2312" w:eastAsia="仿宋_GB2312" w:cs="仿宋_GB2312"/>
          <w:sz w:val="32"/>
          <w:szCs w:val="32"/>
        </w:rPr>
        <w:t>公章。</w:t>
      </w:r>
    </w:p>
    <w:p w14:paraId="44E81ADE">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（2）参选文件正本应当包括有比选文件规定的全部文件以及参选人认为必要的文件。参选文件正文部分不能有书写、涂改、增删痕迹，正文外的页头、页尾、页边部分不能有书写、涂改、增删痕迹。</w:t>
      </w:r>
    </w:p>
    <w:p w14:paraId="175B9C2E">
      <w:pPr>
        <w:widowControl/>
        <w:overflowPunct w:val="0"/>
        <w:snapToGrid w:val="0"/>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 参选文件的澄清和补正</w:t>
      </w:r>
    </w:p>
    <w:p w14:paraId="308348E9">
      <w:pPr>
        <w:widowControl/>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 在评审过程中，评审小组可以书面形式要求参选人对所提交的参选文件中不明确的内容进行书面澄清或说明，或者对细微偏差进行补正；评审小组不接受参选人主动提出的澄清、说明或补正。</w:t>
      </w:r>
    </w:p>
    <w:p w14:paraId="3790CEF6">
      <w:pPr>
        <w:widowControl/>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 澄清、说明和补正不得改变参选文件的实质性内容（算术性错误修正的除外），参选人的书面澄清、说明和补正属于参选文件的组成部分。</w:t>
      </w:r>
    </w:p>
    <w:p w14:paraId="496095AC">
      <w:pPr>
        <w:widowControl/>
        <w:overflowPunct w:val="0"/>
        <w:snapToGrid w:val="0"/>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 其他须知</w:t>
      </w:r>
    </w:p>
    <w:p w14:paraId="195ACD51">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 参选人所报服务费用应为价格总额，包括常年法律顾问服务费、税费、交通费、通讯费、餐费等一切费用。</w:t>
      </w:r>
    </w:p>
    <w:p w14:paraId="4B834A22">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5.2 参选人应本着长期合作、专业服务的精神，以合适的服务报价参选，并严格保证服务质量。</w:t>
      </w:r>
    </w:p>
    <w:p w14:paraId="06BFCC8D">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 参选人不允许提交两份或两份以上不同实质内容的参选文件；提交的参选文件均不退还，由公司存档备查；公司将对参选人资料予以保密。</w:t>
      </w:r>
    </w:p>
    <w:p w14:paraId="0716FAAB">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5.4 参选人应对其提交的参选文件的真实性、合法性、完整性负责，若有不实，作废选处理或解除服务合同。</w:t>
      </w:r>
    </w:p>
    <w:p w14:paraId="179B2380">
      <w:pPr>
        <w:widowControl/>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5.5 参选人及指派律师的情况和专业水平，与参选文件所述严重不符的，或参选人及指派律师的实际从业能力无法满足公司基本要求的，或参选人及指派律师的重大过错给公司带来损失的，公司有权作废选处理或解除服务合同。</w:t>
      </w:r>
    </w:p>
    <w:p w14:paraId="35ADB3E0">
      <w:pPr>
        <w:rPr>
          <w:rFonts w:hint="eastAsia" w:ascii="宋体" w:hAnsi="宋体"/>
          <w:sz w:val="36"/>
          <w:szCs w:val="36"/>
        </w:rPr>
      </w:pPr>
      <w:r>
        <w:rPr>
          <w:rFonts w:hint="eastAsia" w:ascii="宋体" w:hAnsi="宋体"/>
          <w:sz w:val="36"/>
          <w:szCs w:val="36"/>
        </w:rPr>
        <w:br w:type="page"/>
      </w:r>
    </w:p>
    <w:p w14:paraId="63DA7210">
      <w:pPr>
        <w:pStyle w:val="2"/>
        <w:wordWrap w:val="0"/>
        <w:overflowPunct w:val="0"/>
        <w:spacing w:before="0" w:after="0" w:line="560" w:lineRule="exact"/>
        <w:jc w:val="center"/>
        <w:rPr>
          <w:rFonts w:hint="eastAsia" w:ascii="黑体" w:hAnsi="黑体" w:eastAsia="黑体" w:cs="黑体"/>
          <w:b w:val="0"/>
          <w:bCs w:val="0"/>
        </w:rPr>
      </w:pPr>
      <w:bookmarkStart w:id="18" w:name="_Toc20971"/>
      <w:r>
        <w:rPr>
          <w:rFonts w:hint="eastAsia" w:ascii="黑体" w:hAnsi="黑体" w:eastAsia="黑体" w:cs="黑体"/>
          <w:b w:val="0"/>
          <w:bCs w:val="0"/>
        </w:rPr>
        <w:t>第三章 评</w:t>
      </w:r>
      <w:bookmarkEnd w:id="15"/>
      <w:bookmarkEnd w:id="16"/>
      <w:r>
        <w:rPr>
          <w:rFonts w:hint="eastAsia" w:ascii="黑体" w:hAnsi="黑体" w:eastAsia="黑体" w:cs="黑体"/>
          <w:b w:val="0"/>
          <w:bCs w:val="0"/>
        </w:rPr>
        <w:t>审办法</w:t>
      </w:r>
      <w:bookmarkEnd w:id="18"/>
    </w:p>
    <w:p w14:paraId="4E56B9E9">
      <w:pPr>
        <w:wordWrap w:val="0"/>
        <w:overflowPunct w:val="0"/>
        <w:spacing w:line="560" w:lineRule="exact"/>
        <w:rPr>
          <w:rFonts w:hint="eastAsia" w:ascii="仿宋_GB2312" w:hAnsi="仿宋_GB2312" w:eastAsia="仿宋_GB2312" w:cs="仿宋_GB2312"/>
          <w:sz w:val="32"/>
          <w:szCs w:val="32"/>
        </w:rPr>
      </w:pPr>
      <w:bookmarkStart w:id="19" w:name="_Toc11876"/>
      <w:bookmarkStart w:id="20" w:name="_Toc81784911"/>
    </w:p>
    <w:p w14:paraId="70270146">
      <w:pPr>
        <w:wordWrap w:val="0"/>
        <w:overflowPunct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一、评审须知</w:t>
      </w:r>
    </w:p>
    <w:p w14:paraId="2368CE45">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 本项目公司自行组建评审小组进行评审，采用现场评审方式进行评审。</w:t>
      </w:r>
    </w:p>
    <w:p w14:paraId="06BE0004">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 本项目评审小组根据比选文件要求，对参选人的资格条件进行审查，只有通过资格审查才能进入综合评审。</w:t>
      </w:r>
    </w:p>
    <w:p w14:paraId="42134FDA">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 本次采购项目采用综合评分法，评审小组根据比选文件量化因素、分值要求，对参选文件的内容进行综合评价打分并计算出综合得分。</w:t>
      </w:r>
    </w:p>
    <w:p w14:paraId="79EB3316">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 本项目评审小组进行评审前，应当对参选文件进行检查，确定参选文件是否密封完整，经确认无误后，确定为有效参选文件。</w:t>
      </w:r>
    </w:p>
    <w:p w14:paraId="4F13CB7A">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 本项目评审小组在评审过程中，发现参选人以他人的名义参选、串通参选、以行贿手段谋取中选或者以其他弄虚作假方式参选的，应当否决该参选人的参选。</w:t>
      </w:r>
    </w:p>
    <w:p w14:paraId="4571E428">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 本项目评审小组在评审过程中，发现参选人的</w:t>
      </w:r>
      <w:r>
        <w:rPr>
          <w:rFonts w:ascii="仿宋_GB2312" w:hAnsi="仿宋_GB2312" w:eastAsia="仿宋_GB2312" w:cs="仿宋_GB2312"/>
          <w:sz w:val="32"/>
          <w:szCs w:val="32"/>
        </w:rPr>
        <w:t>资格条件不符合国家有关规定和</w:t>
      </w:r>
      <w:r>
        <w:rPr>
          <w:rFonts w:hint="eastAsia" w:ascii="仿宋_GB2312" w:hAnsi="仿宋_GB2312" w:eastAsia="仿宋_GB2312" w:cs="仿宋_GB2312"/>
          <w:sz w:val="32"/>
          <w:szCs w:val="32"/>
        </w:rPr>
        <w:t>比选</w:t>
      </w:r>
      <w:r>
        <w:rPr>
          <w:rFonts w:ascii="仿宋_GB2312" w:hAnsi="仿宋_GB2312" w:eastAsia="仿宋_GB2312" w:cs="仿宋_GB2312"/>
          <w:sz w:val="32"/>
          <w:szCs w:val="32"/>
        </w:rPr>
        <w:t>文件</w:t>
      </w:r>
      <w:r>
        <w:rPr>
          <w:rFonts w:hint="eastAsia" w:ascii="仿宋_GB2312" w:hAnsi="仿宋_GB2312" w:eastAsia="仿宋_GB2312" w:cs="仿宋_GB2312"/>
          <w:sz w:val="32"/>
          <w:szCs w:val="32"/>
        </w:rPr>
        <w:t>规定和</w:t>
      </w:r>
      <w:r>
        <w:rPr>
          <w:rFonts w:ascii="仿宋_GB2312" w:hAnsi="仿宋_GB2312" w:eastAsia="仿宋_GB2312" w:cs="仿宋_GB2312"/>
          <w:sz w:val="32"/>
          <w:szCs w:val="32"/>
        </w:rPr>
        <w:t>要求的，或者拒不按照</w:t>
      </w:r>
      <w:r>
        <w:rPr>
          <w:rFonts w:hint="eastAsia" w:ascii="仿宋_GB2312" w:hAnsi="仿宋_GB2312" w:eastAsia="仿宋_GB2312" w:cs="仿宋_GB2312"/>
          <w:sz w:val="32"/>
          <w:szCs w:val="32"/>
        </w:rPr>
        <w:t>评审小组</w:t>
      </w:r>
      <w:r>
        <w:rPr>
          <w:rFonts w:ascii="仿宋_GB2312" w:hAnsi="仿宋_GB2312" w:eastAsia="仿宋_GB2312" w:cs="仿宋_GB2312"/>
          <w:sz w:val="32"/>
          <w:szCs w:val="32"/>
        </w:rPr>
        <w:t>要求对</w:t>
      </w:r>
      <w:r>
        <w:rPr>
          <w:rFonts w:hint="eastAsia" w:ascii="仿宋_GB2312" w:hAnsi="仿宋_GB2312" w:eastAsia="仿宋_GB2312" w:cs="仿宋_GB2312"/>
          <w:sz w:val="32"/>
          <w:szCs w:val="32"/>
        </w:rPr>
        <w:t>比选</w:t>
      </w:r>
      <w:r>
        <w:rPr>
          <w:rFonts w:ascii="仿宋_GB2312" w:hAnsi="仿宋_GB2312" w:eastAsia="仿宋_GB2312" w:cs="仿宋_GB2312"/>
          <w:sz w:val="32"/>
          <w:szCs w:val="32"/>
        </w:rPr>
        <w:t>文件进行澄清、说明或者补正的，</w:t>
      </w:r>
      <w:r>
        <w:rPr>
          <w:rFonts w:hint="eastAsia" w:ascii="仿宋_GB2312" w:hAnsi="仿宋_GB2312" w:eastAsia="仿宋_GB2312" w:cs="仿宋_GB2312"/>
          <w:sz w:val="32"/>
          <w:szCs w:val="32"/>
        </w:rPr>
        <w:t>评审小组应当</w:t>
      </w:r>
      <w:r>
        <w:rPr>
          <w:rFonts w:ascii="仿宋_GB2312" w:hAnsi="仿宋_GB2312" w:eastAsia="仿宋_GB2312" w:cs="仿宋_GB2312"/>
          <w:sz w:val="32"/>
          <w:szCs w:val="32"/>
        </w:rPr>
        <w:t>否决</w:t>
      </w:r>
      <w:r>
        <w:rPr>
          <w:rFonts w:hint="eastAsia" w:ascii="仿宋_GB2312" w:hAnsi="仿宋_GB2312" w:eastAsia="仿宋_GB2312" w:cs="仿宋_GB2312"/>
          <w:sz w:val="32"/>
          <w:szCs w:val="32"/>
        </w:rPr>
        <w:t>该参选人的参选</w:t>
      </w:r>
      <w:r>
        <w:rPr>
          <w:rFonts w:ascii="仿宋_GB2312" w:hAnsi="仿宋_GB2312" w:eastAsia="仿宋_GB2312" w:cs="仿宋_GB2312"/>
          <w:sz w:val="32"/>
          <w:szCs w:val="32"/>
        </w:rPr>
        <w:t>。</w:t>
      </w:r>
    </w:p>
    <w:p w14:paraId="3D4AAE65">
      <w:pPr>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 本项目评审小组在评审过程中，应当严格按照比选文件的要求逐一对有效的参选文件进行分项评审，并计算出综合得分，根据综合得分，由高到低的顺序推荐前三名候选人。</w:t>
      </w:r>
    </w:p>
    <w:p w14:paraId="751126B0">
      <w:pPr>
        <w:wordWrap w:val="0"/>
        <w:overflowPunct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二、现场评审</w:t>
      </w:r>
    </w:p>
    <w:p w14:paraId="2E063183">
      <w:pPr>
        <w:wordWrap w:val="0"/>
        <w:overflowPunct w:val="0"/>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 资格审查</w:t>
      </w:r>
    </w:p>
    <w:tbl>
      <w:tblPr>
        <w:tblStyle w:val="29"/>
        <w:tblW w:w="100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8"/>
        <w:gridCol w:w="5901"/>
        <w:gridCol w:w="3120"/>
      </w:tblGrid>
      <w:tr w14:paraId="10B65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8" w:type="dxa"/>
            <w:vAlign w:val="center"/>
          </w:tcPr>
          <w:p w14:paraId="3EA646EE">
            <w:pPr>
              <w:pStyle w:val="51"/>
              <w:widowControl w:val="0"/>
              <w:wordWrap w:val="0"/>
              <w:overflowPunct w:val="0"/>
              <w:spacing w:line="520" w:lineRule="exact"/>
              <w:jc w:val="center"/>
              <w:rPr>
                <w:rFonts w:hint="eastAsia" w:ascii="仿宋_GB2312" w:hAnsi="仿宋_GB2312" w:eastAsia="仿宋_GB2312" w:cs="仿宋_GB2312"/>
                <w:b/>
                <w:bCs/>
                <w:sz w:val="32"/>
                <w:szCs w:val="32"/>
                <w:lang w:eastAsia="zh-CN" w:bidi="ar-SA"/>
              </w:rPr>
            </w:pPr>
            <w:r>
              <w:rPr>
                <w:rFonts w:hint="eastAsia" w:ascii="仿宋_GB2312" w:hAnsi="仿宋_GB2312" w:eastAsia="仿宋_GB2312" w:cs="仿宋_GB2312"/>
                <w:b/>
                <w:bCs/>
                <w:sz w:val="32"/>
                <w:szCs w:val="32"/>
                <w:lang w:eastAsia="zh-CN" w:bidi="ar-SA"/>
              </w:rPr>
              <w:t>序号</w:t>
            </w:r>
          </w:p>
        </w:tc>
        <w:tc>
          <w:tcPr>
            <w:tcW w:w="5901" w:type="dxa"/>
            <w:vAlign w:val="center"/>
          </w:tcPr>
          <w:p w14:paraId="0BFBF839">
            <w:pPr>
              <w:pStyle w:val="51"/>
              <w:widowControl w:val="0"/>
              <w:wordWrap w:val="0"/>
              <w:overflowPunct w:val="0"/>
              <w:spacing w:line="520" w:lineRule="exact"/>
              <w:jc w:val="center"/>
              <w:rPr>
                <w:rFonts w:hint="eastAsia" w:ascii="仿宋_GB2312" w:hAnsi="仿宋_GB2312" w:eastAsia="仿宋_GB2312" w:cs="仿宋_GB2312"/>
                <w:b/>
                <w:bCs/>
                <w:sz w:val="32"/>
                <w:szCs w:val="32"/>
                <w:lang w:eastAsia="zh-CN" w:bidi="ar-SA"/>
              </w:rPr>
            </w:pPr>
            <w:r>
              <w:rPr>
                <w:rFonts w:hint="eastAsia" w:ascii="仿宋_GB2312" w:hAnsi="仿宋_GB2312" w:eastAsia="仿宋_GB2312" w:cs="仿宋_GB2312"/>
                <w:b/>
                <w:bCs/>
                <w:sz w:val="32"/>
                <w:szCs w:val="32"/>
                <w:lang w:eastAsia="zh-CN" w:bidi="ar-SA"/>
              </w:rPr>
              <w:t>资格条件</w:t>
            </w:r>
          </w:p>
        </w:tc>
        <w:tc>
          <w:tcPr>
            <w:tcW w:w="3120" w:type="dxa"/>
            <w:vAlign w:val="center"/>
          </w:tcPr>
          <w:p w14:paraId="5C6E5B6D">
            <w:pPr>
              <w:pStyle w:val="51"/>
              <w:widowControl w:val="0"/>
              <w:wordWrap w:val="0"/>
              <w:overflowPunct w:val="0"/>
              <w:spacing w:line="520" w:lineRule="exact"/>
              <w:jc w:val="center"/>
              <w:rPr>
                <w:rFonts w:hint="eastAsia" w:ascii="仿宋_GB2312" w:hAnsi="仿宋_GB2312" w:eastAsia="仿宋_GB2312" w:cs="仿宋_GB2312"/>
                <w:b/>
                <w:bCs/>
                <w:sz w:val="32"/>
                <w:szCs w:val="32"/>
                <w:lang w:eastAsia="zh-CN" w:bidi="ar-SA"/>
              </w:rPr>
            </w:pPr>
            <w:r>
              <w:rPr>
                <w:rFonts w:hint="eastAsia" w:ascii="仿宋_GB2312" w:hAnsi="仿宋_GB2312" w:eastAsia="仿宋_GB2312" w:cs="仿宋_GB2312"/>
                <w:b/>
                <w:bCs/>
                <w:sz w:val="32"/>
                <w:szCs w:val="32"/>
                <w:lang w:eastAsia="zh-CN" w:bidi="ar-SA"/>
              </w:rPr>
              <w:t>审查要求</w:t>
            </w:r>
          </w:p>
        </w:tc>
      </w:tr>
      <w:tr w14:paraId="45B48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8" w:type="dxa"/>
            <w:vAlign w:val="center"/>
          </w:tcPr>
          <w:p w14:paraId="3D68DF20">
            <w:pPr>
              <w:pStyle w:val="51"/>
              <w:widowControl w:val="0"/>
              <w:wordWrap w:val="0"/>
              <w:overflowPunct w:val="0"/>
              <w:spacing w:line="520" w:lineRule="exact"/>
              <w:jc w:val="center"/>
              <w:rPr>
                <w:rFonts w:hint="eastAsia" w:ascii="仿宋_GB2312" w:hAnsi="仿宋_GB2312" w:eastAsia="仿宋_GB2312" w:cs="仿宋_GB2312"/>
                <w:sz w:val="32"/>
                <w:szCs w:val="32"/>
                <w:lang w:eastAsia="zh-CN" w:bidi="ar-SA"/>
              </w:rPr>
            </w:pPr>
            <w:r>
              <w:rPr>
                <w:rFonts w:hint="eastAsia" w:ascii="仿宋_GB2312" w:hAnsi="仿宋_GB2312" w:eastAsia="仿宋_GB2312" w:cs="仿宋_GB2312"/>
                <w:sz w:val="32"/>
                <w:szCs w:val="32"/>
                <w:lang w:eastAsia="zh-CN" w:bidi="ar-SA"/>
              </w:rPr>
              <w:t>1</w:t>
            </w:r>
          </w:p>
        </w:tc>
        <w:tc>
          <w:tcPr>
            <w:tcW w:w="5901" w:type="dxa"/>
            <w:vAlign w:val="center"/>
          </w:tcPr>
          <w:p w14:paraId="7B4490B5">
            <w:pPr>
              <w:widowControl/>
              <w:wordWrap w:val="0"/>
              <w:overflowPunct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选人须是在中华人民共和国境内注册、具有独立承担民事责任能力的律师事务所，须未被列入中国执行信息公开网(https://zxgk.court.gov.cn/)“失信被执行人”，未被列入信用中国（https://www.creditchina.gov.cn/）“重大税收违法失信主体”，未被列入中国政府采购网(www.ccgp.gov.cn)“政府采购严重违法失信行为记录名单”。</w:t>
            </w:r>
          </w:p>
        </w:tc>
        <w:tc>
          <w:tcPr>
            <w:tcW w:w="3120" w:type="dxa"/>
            <w:vAlign w:val="center"/>
          </w:tcPr>
          <w:p w14:paraId="107077E7">
            <w:pPr>
              <w:widowControl/>
              <w:wordWrap w:val="0"/>
              <w:overflowPunct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提供参选时中国执行信息公开网(https://zxgk.court.gov.cn/)、信用中国（https://www.creditchina.gov.cn/）、中国政府采购网(www.ccgp.gov.cn)查询结果截图，并加盖公章。</w:t>
            </w:r>
          </w:p>
        </w:tc>
      </w:tr>
      <w:tr w14:paraId="762A1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5" w:hRule="atLeast"/>
          <w:jc w:val="center"/>
        </w:trPr>
        <w:tc>
          <w:tcPr>
            <w:tcW w:w="1078" w:type="dxa"/>
            <w:vAlign w:val="center"/>
          </w:tcPr>
          <w:p w14:paraId="3ABA0D85">
            <w:pPr>
              <w:pStyle w:val="51"/>
              <w:widowControl w:val="0"/>
              <w:wordWrap w:val="0"/>
              <w:overflowPunct w:val="0"/>
              <w:spacing w:line="520" w:lineRule="exact"/>
              <w:jc w:val="center"/>
              <w:rPr>
                <w:rFonts w:hint="eastAsia" w:ascii="仿宋_GB2312" w:hAnsi="仿宋_GB2312" w:eastAsia="仿宋_GB2312" w:cs="仿宋_GB2312"/>
                <w:sz w:val="32"/>
                <w:szCs w:val="32"/>
                <w:lang w:eastAsia="zh-CN" w:bidi="ar-SA"/>
              </w:rPr>
            </w:pPr>
            <w:r>
              <w:rPr>
                <w:rFonts w:hint="eastAsia" w:ascii="仿宋_GB2312" w:hAnsi="仿宋_GB2312" w:eastAsia="仿宋_GB2312" w:cs="仿宋_GB2312"/>
                <w:sz w:val="32"/>
                <w:szCs w:val="32"/>
                <w:lang w:eastAsia="zh-CN" w:bidi="ar-SA"/>
              </w:rPr>
              <w:t>2</w:t>
            </w:r>
          </w:p>
        </w:tc>
        <w:tc>
          <w:tcPr>
            <w:tcW w:w="5901" w:type="dxa"/>
            <w:vAlign w:val="center"/>
          </w:tcPr>
          <w:p w14:paraId="0EA572C6">
            <w:pPr>
              <w:widowControl/>
              <w:wordWrap w:val="0"/>
              <w:overflowPunct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参选人具有依法缴纳税收和社会保障资金的良好记录。</w:t>
            </w:r>
          </w:p>
        </w:tc>
        <w:tc>
          <w:tcPr>
            <w:tcW w:w="3120" w:type="dxa"/>
            <w:vAlign w:val="center"/>
          </w:tcPr>
          <w:p w14:paraId="7C30C608">
            <w:pPr>
              <w:widowControl/>
              <w:wordWrap w:val="0"/>
              <w:overflowPunct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提供参选时最近3个月的单位缴纳税收、单位职工参保花名册或律师个人参保证明，退休人员请提供退休证明材料，并加盖公章。</w:t>
            </w:r>
          </w:p>
        </w:tc>
      </w:tr>
      <w:tr w14:paraId="2EB7C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jc w:val="center"/>
        </w:trPr>
        <w:tc>
          <w:tcPr>
            <w:tcW w:w="1078" w:type="dxa"/>
            <w:vAlign w:val="center"/>
          </w:tcPr>
          <w:p w14:paraId="470BDA86">
            <w:pPr>
              <w:pStyle w:val="51"/>
              <w:widowControl w:val="0"/>
              <w:wordWrap w:val="0"/>
              <w:overflowPunct w:val="0"/>
              <w:spacing w:line="520" w:lineRule="exact"/>
              <w:jc w:val="center"/>
              <w:rPr>
                <w:rFonts w:hint="eastAsia" w:ascii="仿宋_GB2312" w:hAnsi="仿宋_GB2312" w:eastAsia="仿宋_GB2312" w:cs="仿宋_GB2312"/>
                <w:sz w:val="32"/>
                <w:szCs w:val="32"/>
                <w:lang w:eastAsia="zh-CN" w:bidi="ar-SA"/>
              </w:rPr>
            </w:pPr>
            <w:r>
              <w:rPr>
                <w:rFonts w:hint="eastAsia" w:ascii="仿宋_GB2312" w:hAnsi="仿宋_GB2312" w:eastAsia="仿宋_GB2312" w:cs="仿宋_GB2312"/>
                <w:sz w:val="32"/>
                <w:szCs w:val="32"/>
                <w:lang w:eastAsia="zh-CN" w:bidi="ar-SA"/>
              </w:rPr>
              <w:t>3</w:t>
            </w:r>
          </w:p>
        </w:tc>
        <w:tc>
          <w:tcPr>
            <w:tcW w:w="5901" w:type="dxa"/>
            <w:vAlign w:val="center"/>
          </w:tcPr>
          <w:p w14:paraId="2CCB3174">
            <w:pPr>
              <w:widowControl/>
              <w:wordWrap w:val="0"/>
              <w:overflowPunct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参选人参选前3年内，在经营活动中没有重大违纪、违法记录。</w:t>
            </w:r>
          </w:p>
        </w:tc>
        <w:tc>
          <w:tcPr>
            <w:tcW w:w="3120" w:type="dxa"/>
            <w:vAlign w:val="center"/>
          </w:tcPr>
          <w:p w14:paraId="0A3502C4">
            <w:pPr>
              <w:widowControl/>
              <w:wordWrap w:val="0"/>
              <w:overflowPunct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提供声明函，格式自拟，并加盖公章。</w:t>
            </w:r>
          </w:p>
        </w:tc>
      </w:tr>
      <w:tr w14:paraId="1F7FE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8" w:type="dxa"/>
            <w:vAlign w:val="center"/>
          </w:tcPr>
          <w:p w14:paraId="5A8A9406">
            <w:pPr>
              <w:pStyle w:val="51"/>
              <w:widowControl w:val="0"/>
              <w:wordWrap w:val="0"/>
              <w:overflowPunct w:val="0"/>
              <w:spacing w:line="520" w:lineRule="exact"/>
              <w:jc w:val="center"/>
              <w:rPr>
                <w:rFonts w:hint="eastAsia" w:ascii="仿宋_GB2312" w:hAnsi="仿宋_GB2312" w:eastAsia="仿宋_GB2312" w:cs="仿宋_GB2312"/>
                <w:sz w:val="32"/>
                <w:szCs w:val="32"/>
                <w:lang w:eastAsia="zh-CN" w:bidi="ar-SA"/>
              </w:rPr>
            </w:pPr>
            <w:r>
              <w:rPr>
                <w:rFonts w:hint="eastAsia" w:ascii="仿宋_GB2312" w:hAnsi="仿宋_GB2312" w:eastAsia="仿宋_GB2312" w:cs="仿宋_GB2312"/>
                <w:sz w:val="32"/>
                <w:szCs w:val="32"/>
                <w:lang w:eastAsia="zh-CN" w:bidi="ar-SA"/>
              </w:rPr>
              <w:t>4</w:t>
            </w:r>
          </w:p>
        </w:tc>
        <w:tc>
          <w:tcPr>
            <w:tcW w:w="5901" w:type="dxa"/>
            <w:vAlign w:val="center"/>
          </w:tcPr>
          <w:p w14:paraId="115D7FAD">
            <w:pPr>
              <w:widowControl/>
              <w:wordWrap w:val="0"/>
              <w:overflowPunct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参选人参选前3年内，未因自身的任何违约、违法和违反职业道德的行为导致服务合同解除或败诉，未受过司法行政部门的执政处罚或者律师协会的行业处分。</w:t>
            </w:r>
          </w:p>
        </w:tc>
        <w:tc>
          <w:tcPr>
            <w:tcW w:w="3120" w:type="dxa"/>
            <w:vAlign w:val="center"/>
          </w:tcPr>
          <w:p w14:paraId="4AF7CCFD">
            <w:pPr>
              <w:widowControl/>
              <w:wordWrap w:val="0"/>
              <w:overflowPunct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提供声明函，格式自拟，并加盖公章。</w:t>
            </w:r>
          </w:p>
        </w:tc>
      </w:tr>
      <w:tr w14:paraId="091E7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8" w:type="dxa"/>
            <w:vAlign w:val="center"/>
          </w:tcPr>
          <w:p w14:paraId="08F98BF1">
            <w:pPr>
              <w:pStyle w:val="51"/>
              <w:widowControl w:val="0"/>
              <w:wordWrap w:val="0"/>
              <w:overflowPunct w:val="0"/>
              <w:spacing w:line="520" w:lineRule="exact"/>
              <w:jc w:val="center"/>
              <w:rPr>
                <w:rFonts w:hint="eastAsia" w:ascii="仿宋_GB2312" w:hAnsi="仿宋_GB2312" w:eastAsia="仿宋_GB2312" w:cs="仿宋_GB2312"/>
                <w:sz w:val="32"/>
                <w:szCs w:val="32"/>
                <w:lang w:eastAsia="zh-CN" w:bidi="ar-SA"/>
              </w:rPr>
            </w:pPr>
            <w:r>
              <w:rPr>
                <w:rFonts w:hint="eastAsia" w:ascii="仿宋_GB2312" w:hAnsi="仿宋_GB2312" w:eastAsia="仿宋_GB2312" w:cs="仿宋_GB2312"/>
                <w:sz w:val="32"/>
                <w:szCs w:val="32"/>
                <w:lang w:eastAsia="zh-CN" w:bidi="ar-SA"/>
              </w:rPr>
              <w:t>5</w:t>
            </w:r>
          </w:p>
        </w:tc>
        <w:tc>
          <w:tcPr>
            <w:tcW w:w="5901" w:type="dxa"/>
            <w:vAlign w:val="center"/>
          </w:tcPr>
          <w:p w14:paraId="687A4E60">
            <w:pPr>
              <w:widowControl/>
              <w:wordWrap w:val="0"/>
              <w:overflowPunct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参选人具有良好的社会关系，资信实力、管理水平、商业信誉和健全的财务会计制度。</w:t>
            </w:r>
          </w:p>
        </w:tc>
        <w:tc>
          <w:tcPr>
            <w:tcW w:w="3120" w:type="dxa"/>
            <w:vAlign w:val="center"/>
          </w:tcPr>
          <w:p w14:paraId="371DB110">
            <w:pPr>
              <w:widowControl/>
              <w:wordWrap w:val="0"/>
              <w:overflowPunct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提供声明函，格式自拟，并加盖公章。</w:t>
            </w:r>
          </w:p>
        </w:tc>
      </w:tr>
      <w:tr w14:paraId="54A7E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8" w:type="dxa"/>
            <w:vAlign w:val="center"/>
          </w:tcPr>
          <w:p w14:paraId="704C5F46">
            <w:pPr>
              <w:pStyle w:val="51"/>
              <w:widowControl w:val="0"/>
              <w:wordWrap w:val="0"/>
              <w:overflowPunct w:val="0"/>
              <w:spacing w:line="520" w:lineRule="exact"/>
              <w:jc w:val="center"/>
              <w:rPr>
                <w:rFonts w:hint="eastAsia" w:ascii="仿宋_GB2312" w:hAnsi="仿宋_GB2312" w:eastAsia="仿宋_GB2312" w:cs="仿宋_GB2312"/>
                <w:sz w:val="32"/>
                <w:szCs w:val="32"/>
                <w:lang w:eastAsia="zh-CN" w:bidi="ar-SA"/>
              </w:rPr>
            </w:pPr>
            <w:r>
              <w:rPr>
                <w:rFonts w:hint="eastAsia" w:ascii="仿宋_GB2312" w:hAnsi="仿宋_GB2312" w:eastAsia="仿宋_GB2312" w:cs="仿宋_GB2312"/>
                <w:sz w:val="32"/>
                <w:szCs w:val="32"/>
                <w:lang w:eastAsia="zh-CN" w:bidi="ar-SA"/>
              </w:rPr>
              <w:t>6</w:t>
            </w:r>
          </w:p>
        </w:tc>
        <w:tc>
          <w:tcPr>
            <w:tcW w:w="5901" w:type="dxa"/>
            <w:vAlign w:val="center"/>
          </w:tcPr>
          <w:p w14:paraId="3CEFF34C">
            <w:pPr>
              <w:widowControl/>
              <w:wordWrap w:val="0"/>
              <w:overflowPunct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参选人参选前1年内，不存在与公司有利益冲突的情形（含诉讼、非诉讼、投资并购等事项）。</w:t>
            </w:r>
          </w:p>
        </w:tc>
        <w:tc>
          <w:tcPr>
            <w:tcW w:w="3120" w:type="dxa"/>
            <w:vAlign w:val="center"/>
          </w:tcPr>
          <w:p w14:paraId="5C556F9E">
            <w:pPr>
              <w:widowControl/>
              <w:wordWrap w:val="0"/>
              <w:overflowPunct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提供声明函，格式自拟，并加盖公章。</w:t>
            </w:r>
          </w:p>
        </w:tc>
      </w:tr>
      <w:tr w14:paraId="3FE95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8" w:type="dxa"/>
            <w:vAlign w:val="center"/>
          </w:tcPr>
          <w:p w14:paraId="48187490">
            <w:pPr>
              <w:pStyle w:val="51"/>
              <w:widowControl w:val="0"/>
              <w:wordWrap w:val="0"/>
              <w:overflowPunct w:val="0"/>
              <w:spacing w:line="520" w:lineRule="exact"/>
              <w:jc w:val="center"/>
              <w:rPr>
                <w:rFonts w:hint="eastAsia" w:ascii="仿宋_GB2312" w:hAnsi="仿宋_GB2312" w:eastAsia="仿宋_GB2312" w:cs="仿宋_GB2312"/>
                <w:sz w:val="32"/>
                <w:szCs w:val="32"/>
                <w:lang w:eastAsia="zh-CN" w:bidi="ar-SA"/>
              </w:rPr>
            </w:pPr>
            <w:r>
              <w:rPr>
                <w:rFonts w:hint="eastAsia" w:ascii="仿宋_GB2312" w:hAnsi="仿宋_GB2312" w:eastAsia="仿宋_GB2312" w:cs="仿宋_GB2312"/>
                <w:sz w:val="32"/>
                <w:szCs w:val="32"/>
                <w:lang w:eastAsia="zh-CN" w:bidi="ar-SA"/>
              </w:rPr>
              <w:t>7</w:t>
            </w:r>
          </w:p>
        </w:tc>
        <w:tc>
          <w:tcPr>
            <w:tcW w:w="5901" w:type="dxa"/>
            <w:vAlign w:val="center"/>
          </w:tcPr>
          <w:p w14:paraId="6D3C917A">
            <w:pPr>
              <w:widowControl/>
              <w:wordWrap w:val="0"/>
              <w:overflowPunct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参选人指派主办律师2人以上，参选时执业年限5年以上，具有丰富的执业经验，在相关专业领域具有较强的专业能力素养，已投保执业责任保险。</w:t>
            </w:r>
          </w:p>
        </w:tc>
        <w:tc>
          <w:tcPr>
            <w:tcW w:w="3120" w:type="dxa"/>
            <w:vAlign w:val="center"/>
          </w:tcPr>
          <w:p w14:paraId="47A5D501">
            <w:pPr>
              <w:widowControl/>
              <w:wordWrap w:val="0"/>
              <w:overflowPunct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提供律师执业证书、投保执业责任保险记录、全国律师执业诚信信息公示平台（https://credit.acla.org.cn/）查询结果截图，并加盖公章。</w:t>
            </w:r>
          </w:p>
        </w:tc>
      </w:tr>
    </w:tbl>
    <w:p w14:paraId="77039C68">
      <w:pPr>
        <w:rPr>
          <w:rFonts w:hint="eastAsia" w:ascii="仿宋_GB2312" w:hAnsi="仿宋_GB2312" w:eastAsia="仿宋_GB2312" w:cs="仿宋_GB2312"/>
          <w:b/>
          <w:bCs/>
          <w:sz w:val="32"/>
          <w:szCs w:val="32"/>
        </w:rPr>
        <w:sectPr>
          <w:headerReference r:id="rId6" w:type="default"/>
          <w:footerReference r:id="rId7" w:type="default"/>
          <w:pgSz w:w="11906" w:h="16838"/>
          <w:pgMar w:top="1440" w:right="1800" w:bottom="1440" w:left="1800" w:header="851" w:footer="992" w:gutter="0"/>
          <w:pgNumType w:fmt="numberInDash" w:start="1"/>
          <w:cols w:space="720" w:num="1"/>
          <w:docGrid w:type="lines" w:linePitch="312" w:charSpace="0"/>
        </w:sectPr>
      </w:pPr>
    </w:p>
    <w:p w14:paraId="6094291B">
      <w:pPr>
        <w:numPr>
          <w:ilvl w:val="0"/>
          <w:numId w:val="4"/>
        </w:numPr>
        <w:wordWrap w:val="0"/>
        <w:overflowPunct w:val="0"/>
        <w:spacing w:line="560" w:lineRule="exac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综合评审</w:t>
      </w:r>
    </w:p>
    <w:tbl>
      <w:tblPr>
        <w:tblStyle w:val="29"/>
        <w:tblW w:w="139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18"/>
        <w:gridCol w:w="1538"/>
        <w:gridCol w:w="1062"/>
        <w:gridCol w:w="669"/>
        <w:gridCol w:w="9210"/>
      </w:tblGrid>
      <w:tr w14:paraId="51534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8" w:hRule="atLeast"/>
          <w:jc w:val="center"/>
        </w:trPr>
        <w:tc>
          <w:tcPr>
            <w:tcW w:w="1518" w:type="dxa"/>
            <w:vAlign w:val="center"/>
          </w:tcPr>
          <w:p w14:paraId="2EF9DD3B">
            <w:pPr>
              <w:wordWrap w:val="0"/>
              <w:overflowPunct w:val="0"/>
              <w:spacing w:line="500" w:lineRule="exact"/>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w:t>
            </w:r>
          </w:p>
        </w:tc>
        <w:tc>
          <w:tcPr>
            <w:tcW w:w="1538" w:type="dxa"/>
            <w:vAlign w:val="center"/>
          </w:tcPr>
          <w:p w14:paraId="42A8F3E7">
            <w:pPr>
              <w:wordWrap w:val="0"/>
              <w:overflowPunct w:val="0"/>
              <w:spacing w:line="500" w:lineRule="exact"/>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评分内容</w:t>
            </w:r>
          </w:p>
        </w:tc>
        <w:tc>
          <w:tcPr>
            <w:tcW w:w="1062" w:type="dxa"/>
            <w:vAlign w:val="center"/>
          </w:tcPr>
          <w:p w14:paraId="66A1CC18">
            <w:pPr>
              <w:wordWrap w:val="0"/>
              <w:overflowPunct w:val="0"/>
              <w:spacing w:line="500" w:lineRule="exact"/>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评分因素</w:t>
            </w:r>
          </w:p>
        </w:tc>
        <w:tc>
          <w:tcPr>
            <w:tcW w:w="669" w:type="dxa"/>
            <w:vAlign w:val="center"/>
          </w:tcPr>
          <w:p w14:paraId="681F9320">
            <w:pPr>
              <w:wordWrap w:val="0"/>
              <w:overflowPunct w:val="0"/>
              <w:spacing w:line="500" w:lineRule="exact"/>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分值</w:t>
            </w:r>
          </w:p>
        </w:tc>
        <w:tc>
          <w:tcPr>
            <w:tcW w:w="9210" w:type="dxa"/>
            <w:vAlign w:val="center"/>
          </w:tcPr>
          <w:p w14:paraId="1E5C2DBC">
            <w:pPr>
              <w:wordWrap w:val="0"/>
              <w:overflowPunct w:val="0"/>
              <w:spacing w:line="500" w:lineRule="exact"/>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评分标准</w:t>
            </w:r>
          </w:p>
        </w:tc>
      </w:tr>
      <w:tr w14:paraId="2474B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5" w:hRule="atLeast"/>
          <w:jc w:val="center"/>
        </w:trPr>
        <w:tc>
          <w:tcPr>
            <w:tcW w:w="1518" w:type="dxa"/>
            <w:vMerge w:val="restart"/>
            <w:vAlign w:val="center"/>
          </w:tcPr>
          <w:p w14:paraId="0336D8C4">
            <w:pPr>
              <w:wordWrap w:val="0"/>
              <w:overflowPunct w:val="0"/>
              <w:spacing w:line="500" w:lineRule="exact"/>
              <w:jc w:val="center"/>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商务部分（35分）</w:t>
            </w:r>
          </w:p>
        </w:tc>
        <w:tc>
          <w:tcPr>
            <w:tcW w:w="1538" w:type="dxa"/>
            <w:vMerge w:val="restart"/>
            <w:vAlign w:val="center"/>
          </w:tcPr>
          <w:p w14:paraId="6A268BF3">
            <w:pPr>
              <w:wordWrap w:val="0"/>
              <w:overflowPunct w:val="0"/>
              <w:spacing w:line="500" w:lineRule="exact"/>
              <w:jc w:val="center"/>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律所资质（15分）</w:t>
            </w:r>
          </w:p>
        </w:tc>
        <w:tc>
          <w:tcPr>
            <w:tcW w:w="1062" w:type="dxa"/>
            <w:vAlign w:val="center"/>
          </w:tcPr>
          <w:p w14:paraId="63D3E4AF">
            <w:pPr>
              <w:wordWrap w:val="0"/>
              <w:overflowPunct w:val="0"/>
              <w:spacing w:line="500" w:lineRule="exact"/>
              <w:jc w:val="center"/>
              <w:rPr>
                <w:rFonts w:hint="eastAsia" w:ascii="仿宋_GB2312" w:hAnsi="仿宋_GB2312" w:eastAsia="仿宋_GB2312" w:cs="仿宋_GB2312"/>
                <w:b/>
                <w:bCs/>
                <w:sz w:val="32"/>
                <w:szCs w:val="32"/>
                <w:highlight w:val="yellow"/>
              </w:rPr>
            </w:pPr>
            <w:r>
              <w:rPr>
                <w:rFonts w:hint="eastAsia" w:ascii="仿宋_GB2312" w:hAnsi="仿宋_GB2312" w:eastAsia="仿宋_GB2312" w:cs="仿宋_GB2312"/>
                <w:sz w:val="32"/>
                <w:szCs w:val="32"/>
              </w:rPr>
              <w:t>律所成立时间</w:t>
            </w:r>
          </w:p>
        </w:tc>
        <w:tc>
          <w:tcPr>
            <w:tcW w:w="669" w:type="dxa"/>
            <w:vAlign w:val="center"/>
          </w:tcPr>
          <w:p w14:paraId="52F904A2">
            <w:pPr>
              <w:wordWrap w:val="0"/>
              <w:overflowPunct w:val="0"/>
              <w:spacing w:line="5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5分</w:t>
            </w:r>
          </w:p>
        </w:tc>
        <w:tc>
          <w:tcPr>
            <w:tcW w:w="9210" w:type="dxa"/>
            <w:vAlign w:val="center"/>
          </w:tcPr>
          <w:p w14:paraId="3633ACBE">
            <w:pPr>
              <w:wordWrap w:val="0"/>
              <w:overflowPunct w:val="0"/>
              <w:spacing w:line="5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律所成立时间满3年得1分；成立时间满4年得2分；成立时间满5年得3分；成立时间满6年得4分；成立时间满7年及以上得5分。（满分5分）</w:t>
            </w:r>
          </w:p>
          <w:p w14:paraId="7776D275">
            <w:pPr>
              <w:wordWrap w:val="0"/>
              <w:overflowPunct w:val="0"/>
              <w:spacing w:line="5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注：在海南本地设立分所（独立法人）的，以分所成立时间为准。证明材料：提供律师事务所执业许可证复印件或其他证明材料，并加盖公章。</w:t>
            </w:r>
          </w:p>
        </w:tc>
      </w:tr>
      <w:tr w14:paraId="07033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518" w:type="dxa"/>
            <w:vMerge w:val="continue"/>
            <w:vAlign w:val="center"/>
          </w:tcPr>
          <w:p w14:paraId="2DECFC4C">
            <w:pPr>
              <w:wordWrap w:val="0"/>
              <w:overflowPunct w:val="0"/>
              <w:spacing w:line="500" w:lineRule="exact"/>
              <w:jc w:val="center"/>
              <w:rPr>
                <w:rFonts w:hint="eastAsia" w:ascii="仿宋_GB2312" w:hAnsi="仿宋_GB2312" w:eastAsia="仿宋_GB2312" w:cs="仿宋_GB2312"/>
                <w:b/>
                <w:bCs/>
                <w:sz w:val="32"/>
                <w:szCs w:val="32"/>
              </w:rPr>
            </w:pPr>
          </w:p>
        </w:tc>
        <w:tc>
          <w:tcPr>
            <w:tcW w:w="1538" w:type="dxa"/>
            <w:vMerge w:val="continue"/>
            <w:vAlign w:val="center"/>
          </w:tcPr>
          <w:p w14:paraId="7797B763">
            <w:pPr>
              <w:wordWrap w:val="0"/>
              <w:overflowPunct w:val="0"/>
              <w:spacing w:line="500" w:lineRule="exact"/>
              <w:jc w:val="center"/>
              <w:rPr>
                <w:rFonts w:hint="eastAsia" w:ascii="仿宋_GB2312" w:hAnsi="仿宋_GB2312" w:eastAsia="仿宋_GB2312" w:cs="仿宋_GB2312"/>
                <w:b/>
                <w:bCs/>
                <w:sz w:val="32"/>
                <w:szCs w:val="32"/>
              </w:rPr>
            </w:pPr>
          </w:p>
        </w:tc>
        <w:tc>
          <w:tcPr>
            <w:tcW w:w="1062" w:type="dxa"/>
            <w:vMerge w:val="restart"/>
            <w:vAlign w:val="center"/>
          </w:tcPr>
          <w:p w14:paraId="1263519F">
            <w:pPr>
              <w:wordWrap w:val="0"/>
              <w:overflowPunct w:val="0"/>
              <w:spacing w:line="5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律所荣誉</w:t>
            </w:r>
          </w:p>
        </w:tc>
        <w:tc>
          <w:tcPr>
            <w:tcW w:w="669" w:type="dxa"/>
            <w:vAlign w:val="center"/>
          </w:tcPr>
          <w:p w14:paraId="073EEF98">
            <w:pPr>
              <w:wordWrap w:val="0"/>
              <w:overflowPunct w:val="0"/>
              <w:spacing w:line="5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5分</w:t>
            </w:r>
          </w:p>
        </w:tc>
        <w:tc>
          <w:tcPr>
            <w:tcW w:w="9210" w:type="dxa"/>
            <w:vAlign w:val="center"/>
          </w:tcPr>
          <w:p w14:paraId="147A61DA">
            <w:pPr>
              <w:wordWrap w:val="0"/>
              <w:overflowPunct w:val="0"/>
              <w:spacing w:line="5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律所三年获得省司法厅授予优秀律师事务所称号的，每次得5分；近三年获得省会城市授予优秀律师事务所称号的，每次得2.5分（满分5分）</w:t>
            </w:r>
          </w:p>
          <w:p w14:paraId="3608B48C">
            <w:pPr>
              <w:wordWrap w:val="0"/>
              <w:overflowPunct w:val="0"/>
              <w:spacing w:line="5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证明材料：提供发布的获奖公示复印件或获奖证明书等相关证明材料，并加盖公章。</w:t>
            </w:r>
          </w:p>
        </w:tc>
      </w:tr>
      <w:tr w14:paraId="2B034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518" w:type="dxa"/>
            <w:vMerge w:val="continue"/>
            <w:vAlign w:val="center"/>
          </w:tcPr>
          <w:p w14:paraId="222A169F">
            <w:pPr>
              <w:wordWrap w:val="0"/>
              <w:overflowPunct w:val="0"/>
              <w:spacing w:line="500" w:lineRule="exact"/>
              <w:jc w:val="center"/>
              <w:rPr>
                <w:rFonts w:hint="eastAsia" w:ascii="仿宋_GB2312" w:hAnsi="仿宋_GB2312" w:eastAsia="仿宋_GB2312" w:cs="仿宋_GB2312"/>
                <w:b/>
                <w:bCs/>
                <w:sz w:val="32"/>
                <w:szCs w:val="32"/>
              </w:rPr>
            </w:pPr>
          </w:p>
        </w:tc>
        <w:tc>
          <w:tcPr>
            <w:tcW w:w="1538" w:type="dxa"/>
            <w:vMerge w:val="continue"/>
            <w:vAlign w:val="center"/>
          </w:tcPr>
          <w:p w14:paraId="43B2A947">
            <w:pPr>
              <w:wordWrap w:val="0"/>
              <w:overflowPunct w:val="0"/>
              <w:spacing w:line="500" w:lineRule="exact"/>
              <w:jc w:val="center"/>
              <w:rPr>
                <w:rFonts w:hint="eastAsia" w:ascii="仿宋_GB2312" w:hAnsi="仿宋_GB2312" w:eastAsia="仿宋_GB2312" w:cs="仿宋_GB2312"/>
                <w:b/>
                <w:bCs/>
                <w:sz w:val="32"/>
                <w:szCs w:val="32"/>
              </w:rPr>
            </w:pPr>
          </w:p>
        </w:tc>
        <w:tc>
          <w:tcPr>
            <w:tcW w:w="1062" w:type="dxa"/>
            <w:vMerge w:val="continue"/>
            <w:vAlign w:val="center"/>
          </w:tcPr>
          <w:p w14:paraId="3814E8A1">
            <w:pPr>
              <w:wordWrap w:val="0"/>
              <w:overflowPunct w:val="0"/>
              <w:spacing w:line="500" w:lineRule="exact"/>
              <w:jc w:val="center"/>
              <w:rPr>
                <w:rFonts w:hint="eastAsia" w:ascii="仿宋_GB2312" w:hAnsi="仿宋_GB2312" w:eastAsia="仿宋_GB2312" w:cs="仿宋_GB2312"/>
                <w:sz w:val="32"/>
                <w:szCs w:val="32"/>
                <w:highlight w:val="yellow"/>
              </w:rPr>
            </w:pPr>
          </w:p>
        </w:tc>
        <w:tc>
          <w:tcPr>
            <w:tcW w:w="669" w:type="dxa"/>
            <w:vAlign w:val="center"/>
          </w:tcPr>
          <w:p w14:paraId="152D282E">
            <w:pPr>
              <w:wordWrap w:val="0"/>
              <w:overflowPunct w:val="0"/>
              <w:spacing w:line="5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5分</w:t>
            </w:r>
          </w:p>
        </w:tc>
        <w:tc>
          <w:tcPr>
            <w:tcW w:w="9210" w:type="dxa"/>
            <w:vAlign w:val="center"/>
          </w:tcPr>
          <w:p w14:paraId="006B2F54">
            <w:pPr>
              <w:wordWrap w:val="0"/>
              <w:overflowPunct w:val="0"/>
              <w:spacing w:line="5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律所被海南省高级人民法院列入“破产管理人”名录的，得5分。（满分5分）</w:t>
            </w:r>
          </w:p>
        </w:tc>
      </w:tr>
      <w:tr w14:paraId="22D6F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8" w:hRule="atLeast"/>
          <w:jc w:val="center"/>
        </w:trPr>
        <w:tc>
          <w:tcPr>
            <w:tcW w:w="1518" w:type="dxa"/>
            <w:vMerge w:val="continue"/>
            <w:vAlign w:val="center"/>
          </w:tcPr>
          <w:p w14:paraId="3813D07A">
            <w:pPr>
              <w:wordWrap w:val="0"/>
              <w:overflowPunct w:val="0"/>
              <w:spacing w:line="500" w:lineRule="exact"/>
              <w:jc w:val="center"/>
              <w:rPr>
                <w:rFonts w:hint="eastAsia" w:ascii="仿宋_GB2312" w:hAnsi="仿宋_GB2312" w:eastAsia="仿宋_GB2312" w:cs="仿宋_GB2312"/>
                <w:b/>
                <w:bCs/>
                <w:sz w:val="32"/>
                <w:szCs w:val="32"/>
              </w:rPr>
            </w:pPr>
          </w:p>
        </w:tc>
        <w:tc>
          <w:tcPr>
            <w:tcW w:w="1538" w:type="dxa"/>
            <w:vMerge w:val="restart"/>
            <w:vAlign w:val="center"/>
          </w:tcPr>
          <w:p w14:paraId="6B31B0FF">
            <w:pPr>
              <w:wordWrap w:val="0"/>
              <w:overflowPunct w:val="0"/>
              <w:spacing w:line="500" w:lineRule="exact"/>
              <w:jc w:val="center"/>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服务团队（20分）</w:t>
            </w:r>
          </w:p>
        </w:tc>
        <w:tc>
          <w:tcPr>
            <w:tcW w:w="1062" w:type="dxa"/>
            <w:vAlign w:val="center"/>
          </w:tcPr>
          <w:p w14:paraId="6C601288">
            <w:pPr>
              <w:wordWrap w:val="0"/>
              <w:overflowPunct w:val="0"/>
              <w:spacing w:line="5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指派律师</w:t>
            </w:r>
          </w:p>
        </w:tc>
        <w:tc>
          <w:tcPr>
            <w:tcW w:w="669" w:type="dxa"/>
            <w:vAlign w:val="center"/>
          </w:tcPr>
          <w:p w14:paraId="3CB3DAD3">
            <w:pPr>
              <w:wordWrap w:val="0"/>
              <w:overflowPunct w:val="0"/>
              <w:spacing w:line="5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5分</w:t>
            </w:r>
          </w:p>
        </w:tc>
        <w:tc>
          <w:tcPr>
            <w:tcW w:w="9210" w:type="dxa"/>
            <w:vAlign w:val="center"/>
          </w:tcPr>
          <w:p w14:paraId="5ADEAE63">
            <w:pPr>
              <w:numPr>
                <w:ilvl w:val="255"/>
                <w:numId w:val="0"/>
              </w:numPr>
              <w:wordWrap w:val="0"/>
              <w:overflowPunct w:val="0"/>
              <w:spacing w:line="5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指派律师具有10年以上法律工作经验，得5分；指派律师具有8-10年法律工作经验的，得4分；指派律师具有5-7年法律工作经验的，得3分。（满分5分）</w:t>
            </w:r>
          </w:p>
          <w:p w14:paraId="2BD4EEB9">
            <w:pPr>
              <w:numPr>
                <w:ilvl w:val="255"/>
                <w:numId w:val="0"/>
              </w:numPr>
              <w:wordWrap w:val="0"/>
              <w:overflowPunct w:val="0"/>
              <w:spacing w:line="5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证明材料：提供相关证明材料，并加盖公章。</w:t>
            </w:r>
          </w:p>
        </w:tc>
      </w:tr>
      <w:tr w14:paraId="38B8D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8" w:hRule="atLeast"/>
          <w:jc w:val="center"/>
        </w:trPr>
        <w:tc>
          <w:tcPr>
            <w:tcW w:w="1518" w:type="dxa"/>
            <w:vMerge w:val="continue"/>
            <w:vAlign w:val="center"/>
          </w:tcPr>
          <w:p w14:paraId="2B134A9B">
            <w:pPr>
              <w:wordWrap w:val="0"/>
              <w:overflowPunct w:val="0"/>
              <w:spacing w:line="500" w:lineRule="exact"/>
              <w:jc w:val="center"/>
              <w:rPr>
                <w:rFonts w:hint="eastAsia" w:ascii="仿宋_GB2312" w:hAnsi="仿宋_GB2312" w:eastAsia="仿宋_GB2312" w:cs="仿宋_GB2312"/>
                <w:b/>
                <w:bCs/>
                <w:sz w:val="32"/>
                <w:szCs w:val="32"/>
              </w:rPr>
            </w:pPr>
          </w:p>
        </w:tc>
        <w:tc>
          <w:tcPr>
            <w:tcW w:w="1538" w:type="dxa"/>
            <w:vMerge w:val="continue"/>
            <w:vAlign w:val="center"/>
          </w:tcPr>
          <w:p w14:paraId="1E21F0C1">
            <w:pPr>
              <w:wordWrap w:val="0"/>
              <w:overflowPunct w:val="0"/>
              <w:spacing w:line="500" w:lineRule="exact"/>
              <w:jc w:val="center"/>
              <w:rPr>
                <w:rFonts w:hint="eastAsia" w:ascii="仿宋_GB2312" w:hAnsi="仿宋_GB2312" w:eastAsia="仿宋_GB2312" w:cs="仿宋_GB2312"/>
                <w:b/>
                <w:bCs/>
                <w:sz w:val="32"/>
                <w:szCs w:val="32"/>
              </w:rPr>
            </w:pPr>
          </w:p>
        </w:tc>
        <w:tc>
          <w:tcPr>
            <w:tcW w:w="1062" w:type="dxa"/>
            <w:vAlign w:val="center"/>
          </w:tcPr>
          <w:p w14:paraId="171DEACA">
            <w:pPr>
              <w:wordWrap w:val="0"/>
              <w:overflowPunct w:val="0"/>
              <w:spacing w:line="5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经验及业绩</w:t>
            </w:r>
          </w:p>
        </w:tc>
        <w:tc>
          <w:tcPr>
            <w:tcW w:w="669" w:type="dxa"/>
            <w:vAlign w:val="center"/>
          </w:tcPr>
          <w:p w14:paraId="71C51694">
            <w:pPr>
              <w:wordWrap w:val="0"/>
              <w:overflowPunct w:val="0"/>
              <w:spacing w:line="5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15分</w:t>
            </w:r>
          </w:p>
        </w:tc>
        <w:tc>
          <w:tcPr>
            <w:tcW w:w="9210" w:type="dxa"/>
            <w:vAlign w:val="center"/>
          </w:tcPr>
          <w:p w14:paraId="31002BBF">
            <w:pPr>
              <w:numPr>
                <w:ilvl w:val="255"/>
                <w:numId w:val="0"/>
              </w:numPr>
              <w:wordWrap w:val="0"/>
              <w:overflowPunct w:val="0"/>
              <w:spacing w:line="5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1.自2022年1月1日至今，为央企或省分公司/省重点监管企业/县处级以上机关单位，省属国企提供常年法律顾问服务，按服务合同份数计算，一份得1分。（满分5分）</w:t>
            </w:r>
          </w:p>
          <w:p w14:paraId="6E9AFB27">
            <w:pPr>
              <w:numPr>
                <w:ilvl w:val="255"/>
                <w:numId w:val="0"/>
              </w:numPr>
              <w:wordWrap w:val="0"/>
              <w:overflowPunct w:val="0"/>
              <w:spacing w:line="5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证明材料：提供相关常年法律顾问合同复印件，并加盖公章。</w:t>
            </w:r>
          </w:p>
          <w:p w14:paraId="4AA1ECEC">
            <w:pPr>
              <w:wordWrap w:val="0"/>
              <w:overflowPunct w:val="0"/>
              <w:spacing w:line="5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自2022年1月1日至今，为国有企业合规体系建设、国有资产管理、不良资产处置、企业破产重整、并购重组、供应链业务等提供专项法律服务，按服务合同份数计算，一份得1分。（满分10分）（不包含常年法律顾问服务）</w:t>
            </w:r>
          </w:p>
          <w:p w14:paraId="410AE6FC">
            <w:pPr>
              <w:wordWrap w:val="0"/>
              <w:overflowPunct w:val="0"/>
              <w:spacing w:line="5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证明材料：</w:t>
            </w:r>
          </w:p>
          <w:p w14:paraId="5A4C35CD">
            <w:pPr>
              <w:wordWrap w:val="0"/>
              <w:overflowPunct w:val="0"/>
              <w:spacing w:line="5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提供参与上述法律服务的专项法律服务合同、判决书或其他盖章证明材料等文件作为业绩证明材料。（复印件，加盖公章）</w:t>
            </w:r>
          </w:p>
        </w:tc>
      </w:tr>
      <w:tr w14:paraId="37AFC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8" w:hRule="atLeast"/>
          <w:jc w:val="center"/>
        </w:trPr>
        <w:tc>
          <w:tcPr>
            <w:tcW w:w="1518" w:type="dxa"/>
            <w:vAlign w:val="center"/>
          </w:tcPr>
          <w:p w14:paraId="25C33369">
            <w:pPr>
              <w:wordWrap w:val="0"/>
              <w:overflowPunct w:val="0"/>
              <w:spacing w:line="500" w:lineRule="exact"/>
              <w:jc w:val="center"/>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技术部分（30分）</w:t>
            </w:r>
          </w:p>
        </w:tc>
        <w:tc>
          <w:tcPr>
            <w:tcW w:w="1538" w:type="dxa"/>
            <w:vAlign w:val="center"/>
          </w:tcPr>
          <w:p w14:paraId="4C97F8B8">
            <w:pPr>
              <w:wordWrap w:val="0"/>
              <w:overflowPunct w:val="0"/>
              <w:spacing w:line="5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服务方案</w:t>
            </w:r>
          </w:p>
        </w:tc>
        <w:tc>
          <w:tcPr>
            <w:tcW w:w="1062" w:type="dxa"/>
            <w:vAlign w:val="center"/>
          </w:tcPr>
          <w:p w14:paraId="7D2D7FCF">
            <w:pPr>
              <w:wordWrap w:val="0"/>
              <w:overflowPunct w:val="0"/>
              <w:spacing w:line="5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669" w:type="dxa"/>
            <w:vAlign w:val="center"/>
          </w:tcPr>
          <w:p w14:paraId="558D27A7">
            <w:pPr>
              <w:wordWrap w:val="0"/>
              <w:overflowPunct w:val="0"/>
              <w:spacing w:line="5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30分</w:t>
            </w:r>
          </w:p>
        </w:tc>
        <w:tc>
          <w:tcPr>
            <w:tcW w:w="9210" w:type="dxa"/>
            <w:vAlign w:val="center"/>
          </w:tcPr>
          <w:p w14:paraId="23370A76">
            <w:pPr>
              <w:wordWrap w:val="0"/>
              <w:overflowPunct w:val="0"/>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律所应根据公司经营特点，重点从服务方式和内容、工作思路、合规风控、沟通交流机制、响应时间、保密应急等方面考量，提供完整的服务方案。</w:t>
            </w:r>
          </w:p>
          <w:p w14:paraId="11990DB6">
            <w:pPr>
              <w:wordWrap w:val="0"/>
              <w:overflowPunct w:val="0"/>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根据律所提供的服务方案进行横向对比打分，分</w:t>
            </w:r>
            <w:r>
              <w:rPr>
                <w:rFonts w:hint="eastAsia" w:ascii="仿宋_GB2312" w:hAnsi="仿宋_GB2312" w:eastAsia="仿宋_GB2312" w:cs="仿宋_GB2312"/>
                <w:color w:val="000000"/>
                <w:kern w:val="0"/>
                <w:sz w:val="32"/>
                <w:szCs w:val="32"/>
                <w:lang w:bidi="ar"/>
              </w:rPr>
              <w:t xml:space="preserve">档评分：优得 </w:t>
            </w:r>
            <w:r>
              <w:rPr>
                <w:rFonts w:hint="eastAsia" w:ascii="仿宋_GB2312" w:hAnsi="仿宋_GB2312" w:eastAsia="仿宋_GB2312" w:cs="仿宋_GB2312"/>
                <w:sz w:val="32"/>
                <w:szCs w:val="32"/>
              </w:rPr>
              <w:t>30-26 分</w:t>
            </w:r>
            <w:r>
              <w:rPr>
                <w:rFonts w:hint="eastAsia" w:ascii="仿宋_GB2312" w:hAnsi="仿宋_GB2312" w:eastAsia="仿宋_GB2312" w:cs="仿宋_GB2312"/>
                <w:color w:val="000000"/>
                <w:kern w:val="0"/>
                <w:sz w:val="32"/>
                <w:szCs w:val="32"/>
                <w:lang w:bidi="ar"/>
              </w:rPr>
              <w:t xml:space="preserve">；良得 </w:t>
            </w:r>
            <w:r>
              <w:rPr>
                <w:rFonts w:hint="eastAsia" w:ascii="仿宋_GB2312" w:hAnsi="仿宋_GB2312" w:eastAsia="仿宋_GB2312" w:cs="仿宋_GB2312"/>
                <w:sz w:val="32"/>
                <w:szCs w:val="32"/>
              </w:rPr>
              <w:t xml:space="preserve">25-16 </w:t>
            </w:r>
            <w:r>
              <w:rPr>
                <w:rFonts w:hint="eastAsia" w:ascii="仿宋_GB2312" w:hAnsi="仿宋_GB2312" w:eastAsia="仿宋_GB2312" w:cs="仿宋_GB2312"/>
                <w:color w:val="000000"/>
                <w:kern w:val="0"/>
                <w:sz w:val="32"/>
                <w:szCs w:val="32"/>
                <w:lang w:bidi="ar"/>
              </w:rPr>
              <w:t xml:space="preserve">分；一般得 </w:t>
            </w:r>
            <w:r>
              <w:rPr>
                <w:rFonts w:hint="eastAsia" w:ascii="仿宋_GB2312" w:hAnsi="仿宋_GB2312" w:eastAsia="仿宋_GB2312" w:cs="仿宋_GB2312"/>
                <w:sz w:val="32"/>
                <w:szCs w:val="32"/>
              </w:rPr>
              <w:t xml:space="preserve">15-0 </w:t>
            </w:r>
            <w:r>
              <w:rPr>
                <w:rFonts w:hint="eastAsia" w:ascii="仿宋_GB2312" w:hAnsi="仿宋_GB2312" w:eastAsia="仿宋_GB2312" w:cs="仿宋_GB2312"/>
                <w:color w:val="000000"/>
                <w:kern w:val="0"/>
                <w:sz w:val="32"/>
                <w:szCs w:val="32"/>
                <w:lang w:bidi="ar"/>
              </w:rPr>
              <w:t>分。（满分 30 分）</w:t>
            </w:r>
          </w:p>
        </w:tc>
      </w:tr>
      <w:tr w14:paraId="3185C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8" w:hRule="atLeast"/>
          <w:jc w:val="center"/>
        </w:trPr>
        <w:tc>
          <w:tcPr>
            <w:tcW w:w="1518" w:type="dxa"/>
            <w:vAlign w:val="center"/>
          </w:tcPr>
          <w:p w14:paraId="6D37A24C">
            <w:pPr>
              <w:wordWrap w:val="0"/>
              <w:overflowPunct w:val="0"/>
              <w:spacing w:line="500" w:lineRule="exact"/>
              <w:jc w:val="center"/>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价格部分（35分）</w:t>
            </w:r>
          </w:p>
        </w:tc>
        <w:tc>
          <w:tcPr>
            <w:tcW w:w="1538" w:type="dxa"/>
            <w:vAlign w:val="center"/>
          </w:tcPr>
          <w:p w14:paraId="0A5A3AAB">
            <w:pPr>
              <w:wordWrap w:val="0"/>
              <w:overflowPunct w:val="0"/>
              <w:spacing w:line="500" w:lineRule="exact"/>
              <w:jc w:val="center"/>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服务报价</w:t>
            </w:r>
          </w:p>
        </w:tc>
        <w:tc>
          <w:tcPr>
            <w:tcW w:w="1062" w:type="dxa"/>
            <w:vAlign w:val="center"/>
          </w:tcPr>
          <w:p w14:paraId="42896BBE">
            <w:pPr>
              <w:wordWrap w:val="0"/>
              <w:overflowPunct w:val="0"/>
              <w:spacing w:line="500" w:lineRule="exact"/>
              <w:jc w:val="center"/>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w:t>
            </w:r>
          </w:p>
        </w:tc>
        <w:tc>
          <w:tcPr>
            <w:tcW w:w="669" w:type="dxa"/>
            <w:vAlign w:val="center"/>
          </w:tcPr>
          <w:p w14:paraId="2CF725A7">
            <w:pPr>
              <w:wordWrap w:val="0"/>
              <w:overflowPunct w:val="0"/>
              <w:spacing w:line="500" w:lineRule="exact"/>
              <w:jc w:val="center"/>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35分</w:t>
            </w:r>
          </w:p>
        </w:tc>
        <w:tc>
          <w:tcPr>
            <w:tcW w:w="9210" w:type="dxa"/>
            <w:vAlign w:val="center"/>
          </w:tcPr>
          <w:p w14:paraId="206C320A">
            <w:pPr>
              <w:wordWrap w:val="0"/>
              <w:overflowPunct w:val="0"/>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采用低价优先法计算报价得分，即满足比选文件要求且服务报价最低的参选报价为基准价，报价</w:t>
            </w:r>
            <w:r>
              <w:rPr>
                <w:rFonts w:hint="eastAsia" w:ascii="仿宋_GB2312" w:hAnsi="仿宋_GB2312" w:eastAsia="仿宋_GB2312" w:cs="仿宋_GB2312"/>
                <w:color w:val="000000"/>
                <w:kern w:val="0"/>
                <w:sz w:val="32"/>
                <w:szCs w:val="32"/>
                <w:lang w:bidi="ar"/>
              </w:rPr>
              <w:t>满</w:t>
            </w:r>
            <w:r>
              <w:rPr>
                <w:rFonts w:hint="eastAsia" w:ascii="仿宋_GB2312" w:hAnsi="仿宋_GB2312" w:eastAsia="仿宋_GB2312" w:cs="仿宋_GB2312"/>
                <w:sz w:val="32"/>
                <w:szCs w:val="32"/>
              </w:rPr>
              <w:t>分为35分。</w:t>
            </w:r>
          </w:p>
          <w:p w14:paraId="71C87036">
            <w:pPr>
              <w:wordWrap w:val="0"/>
              <w:overflowPunct w:val="0"/>
              <w:spacing w:line="500" w:lineRule="exact"/>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 xml:space="preserve">计算公式为：报价得分=（基准价/参选报价） </w:t>
            </w:r>
            <w:r>
              <w:rPr>
                <w:rFonts w:hint="eastAsia" w:ascii="仿宋_GB2312" w:hAnsi="仿宋_GB2312" w:eastAsia="仿宋_GB2312" w:cs="仿宋_GB2312"/>
                <w:color w:val="000000"/>
                <w:kern w:val="0"/>
                <w:sz w:val="32"/>
                <w:szCs w:val="32"/>
                <w:lang w:bidi="ar"/>
              </w:rPr>
              <w:t>×</w:t>
            </w:r>
            <w:r>
              <w:rPr>
                <w:rFonts w:hint="eastAsia" w:ascii="仿宋_GB2312" w:hAnsi="仿宋_GB2312" w:eastAsia="仿宋_GB2312" w:cs="仿宋_GB2312"/>
                <w:sz w:val="32"/>
                <w:szCs w:val="32"/>
              </w:rPr>
              <w:t xml:space="preserve"> 报价权重值35%×100。</w:t>
            </w:r>
          </w:p>
        </w:tc>
      </w:tr>
    </w:tbl>
    <w:p w14:paraId="74EACE0D">
      <w:pPr>
        <w:rPr>
          <w:rFonts w:hint="eastAsia" w:ascii="宋体" w:hAnsi="宋体"/>
          <w:sz w:val="36"/>
          <w:szCs w:val="36"/>
        </w:rPr>
        <w:sectPr>
          <w:pgSz w:w="16838" w:h="11906" w:orient="landscape"/>
          <w:pgMar w:top="1800" w:right="1440" w:bottom="1800" w:left="1440" w:header="851" w:footer="992" w:gutter="0"/>
          <w:pgNumType w:fmt="numberInDash"/>
          <w:cols w:space="720" w:num="1"/>
          <w:docGrid w:type="lines" w:linePitch="312" w:charSpace="0"/>
        </w:sectPr>
      </w:pPr>
    </w:p>
    <w:p w14:paraId="6EEFB0B8">
      <w:pPr>
        <w:pStyle w:val="2"/>
        <w:wordWrap w:val="0"/>
        <w:overflowPunct w:val="0"/>
        <w:spacing w:before="312" w:beforeLines="100" w:after="312" w:afterLines="100" w:line="560" w:lineRule="exact"/>
        <w:jc w:val="center"/>
        <w:rPr>
          <w:rFonts w:hint="eastAsia" w:ascii="黑体" w:hAnsi="黑体" w:eastAsia="黑体" w:cs="黑体"/>
          <w:b w:val="0"/>
          <w:bCs w:val="0"/>
        </w:rPr>
      </w:pPr>
      <w:bookmarkStart w:id="21" w:name="_Toc3953"/>
      <w:r>
        <w:rPr>
          <w:rFonts w:hint="eastAsia" w:ascii="黑体" w:hAnsi="黑体" w:eastAsia="黑体" w:cs="黑体"/>
          <w:b w:val="0"/>
          <w:bCs w:val="0"/>
        </w:rPr>
        <w:t>第四章</w:t>
      </w:r>
      <w:bookmarkEnd w:id="19"/>
      <w:bookmarkStart w:id="22" w:name="_Toc7859"/>
      <w:r>
        <w:rPr>
          <w:rFonts w:hint="eastAsia" w:ascii="黑体" w:hAnsi="黑体" w:eastAsia="黑体" w:cs="黑体"/>
          <w:b w:val="0"/>
          <w:bCs w:val="0"/>
        </w:rPr>
        <w:t xml:space="preserve"> 服务合同文本</w:t>
      </w:r>
      <w:bookmarkEnd w:id="20"/>
      <w:bookmarkEnd w:id="21"/>
    </w:p>
    <w:p w14:paraId="7C5B878A">
      <w:pPr>
        <w:wordWrap w:val="0"/>
        <w:overflowPunct w:val="0"/>
        <w:spacing w:line="560" w:lineRule="exact"/>
        <w:rPr>
          <w:rFonts w:hint="eastAsia" w:ascii="仿宋_GB2312" w:hAnsi="仿宋_GB2312" w:eastAsia="仿宋_GB2312" w:cs="仿宋_GB2312"/>
          <w:sz w:val="32"/>
          <w:szCs w:val="32"/>
        </w:rPr>
      </w:pPr>
    </w:p>
    <w:p w14:paraId="5E6BAD58">
      <w:pPr>
        <w:wordWrap w:val="0"/>
        <w:overflowPunct w:val="0"/>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聘请常年法律顾问合同</w:t>
      </w:r>
    </w:p>
    <w:p w14:paraId="63E5FEAE">
      <w:pPr>
        <w:wordWrap w:val="0"/>
        <w:overflowPunct w:val="0"/>
        <w:spacing w:line="560" w:lineRule="exact"/>
        <w:rPr>
          <w:rFonts w:hint="eastAsia" w:ascii="仿宋_GB2312" w:hAnsi="仿宋_GB2312" w:eastAsia="仿宋_GB2312" w:cs="仿宋_GB2312"/>
          <w:sz w:val="32"/>
          <w:szCs w:val="32"/>
        </w:rPr>
      </w:pPr>
    </w:p>
    <w:p w14:paraId="096840C4">
      <w:pPr>
        <w:tabs>
          <w:tab w:val="left" w:pos="6148"/>
          <w:tab w:val="left" w:pos="7893"/>
          <w:tab w:val="left" w:pos="8800"/>
        </w:tabs>
        <w:wordWrap w:val="0"/>
        <w:overflowPunct w:val="0"/>
        <w:spacing w:line="56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合同编号：                </w:t>
      </w:r>
    </w:p>
    <w:p w14:paraId="7F8953B9">
      <w:pPr>
        <w:wordWrap w:val="0"/>
        <w:overflowPunct w:val="0"/>
        <w:spacing w:line="560" w:lineRule="exact"/>
        <w:rPr>
          <w:rFonts w:hint="eastAsia" w:ascii="仿宋_GB2312" w:hAnsi="仿宋_GB2312" w:eastAsia="仿宋_GB2312" w:cs="仿宋_GB2312"/>
          <w:sz w:val="32"/>
          <w:szCs w:val="32"/>
        </w:rPr>
      </w:pPr>
    </w:p>
    <w:p w14:paraId="525DED12">
      <w:pPr>
        <w:wordWrap w:val="0"/>
        <w:overflowPunct w:val="0"/>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聘请方（甲方）：海南华琨实业开发有限公司</w:t>
      </w:r>
    </w:p>
    <w:p w14:paraId="785CB7F5">
      <w:pPr>
        <w:wordWrap w:val="0"/>
        <w:overflowPunct w:val="0"/>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受聘方（乙方）：</w:t>
      </w:r>
    </w:p>
    <w:p w14:paraId="180A2BD7">
      <w:pPr>
        <w:wordWrap w:val="0"/>
        <w:overflowPunct w:val="0"/>
        <w:snapToGrid w:val="0"/>
        <w:spacing w:line="560" w:lineRule="exact"/>
        <w:rPr>
          <w:rFonts w:hint="eastAsia" w:ascii="仿宋_GB2312" w:hAnsi="仿宋_GB2312" w:eastAsia="仿宋_GB2312" w:cs="仿宋_GB2312"/>
          <w:sz w:val="32"/>
          <w:szCs w:val="32"/>
        </w:rPr>
      </w:pPr>
    </w:p>
    <w:p w14:paraId="59409811">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根据中华人民共和国《民法典》、《律师法》及其他有关法律的规定，甲方因业务发展和维护自身合法权益的需要，聘请乙方律师作为常年法律顾问。双方按照诚实信用原则，经协商一致，立此合同，共同遵守。</w:t>
      </w:r>
    </w:p>
    <w:p w14:paraId="1E16B086">
      <w:pPr>
        <w:wordWrap w:val="0"/>
        <w:overflowPunct w:val="0"/>
        <w:snapToGrid w:val="0"/>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第一条 乙方的服务范围</w:t>
      </w:r>
    </w:p>
    <w:p w14:paraId="677ED12E">
      <w:pPr>
        <w:pStyle w:val="59"/>
        <w:numPr>
          <w:ilvl w:val="0"/>
          <w:numId w:val="5"/>
        </w:numPr>
        <w:wordWrap w:val="0"/>
        <w:overflowPunct w:val="0"/>
        <w:snapToGrid w:val="0"/>
        <w:spacing w:line="560" w:lineRule="exact"/>
        <w:ind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乙方为甲方提供的法律服务内容：</w:t>
      </w:r>
    </w:p>
    <w:p w14:paraId="072BBD03">
      <w:pPr>
        <w:widowControl/>
        <w:wordWrap w:val="0"/>
        <w:overflowPunct w:val="0"/>
        <w:spacing w:line="560" w:lineRule="exact"/>
        <w:ind w:firstLine="640" w:firstLineChars="200"/>
        <w:rPr>
          <w:rFonts w:hint="eastAsia" w:ascii="仿宋_GB2312" w:hAnsi="黑体" w:eastAsia="仿宋_GB2312"/>
          <w:sz w:val="32"/>
          <w:szCs w:val="32"/>
        </w:rPr>
      </w:pPr>
      <w:bookmarkStart w:id="23" w:name="_Hlk211597602"/>
      <w:r>
        <w:rPr>
          <w:rFonts w:hint="eastAsia" w:ascii="仿宋_GB2312" w:hAnsi="黑体" w:eastAsia="仿宋_GB2312"/>
          <w:sz w:val="32"/>
          <w:szCs w:val="32"/>
        </w:rPr>
        <w:t>1.为公司日常事务提供法律咨询，解答法律问题；</w:t>
      </w:r>
    </w:p>
    <w:p w14:paraId="33FED3C3">
      <w:pPr>
        <w:widowControl/>
        <w:wordWrap w:val="0"/>
        <w:overflowPunct w:val="0"/>
        <w:spacing w:line="560" w:lineRule="exact"/>
        <w:ind w:left="640"/>
        <w:rPr>
          <w:rFonts w:hint="eastAsia" w:ascii="仿宋_GB2312" w:hAnsi="黑体" w:eastAsia="仿宋_GB2312"/>
          <w:sz w:val="32"/>
          <w:szCs w:val="32"/>
        </w:rPr>
      </w:pPr>
      <w:r>
        <w:rPr>
          <w:rFonts w:hint="eastAsia" w:ascii="仿宋_GB2312" w:hAnsi="黑体" w:eastAsia="仿宋_GB2312"/>
          <w:sz w:val="32"/>
          <w:szCs w:val="32"/>
        </w:rPr>
        <w:t>2.起草、审查公司经营活动涉及的相关协议、合同、法律文书，并应公司要求出具相应法律意见书等；</w:t>
      </w:r>
    </w:p>
    <w:p w14:paraId="520EB81B">
      <w:pPr>
        <w:widowControl/>
        <w:wordWrap w:val="0"/>
        <w:overflowPunct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3.为公司制定修改公司章程、内部规章制度等重大事项提供法律意见、出具法律意见书；</w:t>
      </w:r>
    </w:p>
    <w:p w14:paraId="19B9BC9A">
      <w:pPr>
        <w:widowControl/>
        <w:wordWrap w:val="0"/>
        <w:overflowPunct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4.为公司分立、合并（兼并重组）、破产、解散、减少注册资本等重大事项提供法律意见、出具法律意见书；</w:t>
      </w:r>
    </w:p>
    <w:p w14:paraId="05851CCA">
      <w:pPr>
        <w:widowControl/>
        <w:wordWrap w:val="0"/>
        <w:overflowPunct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5.为公司改制（混合所有制改革、员工持股等）等重大事项提供法律意见、出具法律意见书；</w:t>
      </w:r>
    </w:p>
    <w:p w14:paraId="5EAE37BD">
      <w:pPr>
        <w:widowControl/>
        <w:wordWrap w:val="0"/>
        <w:overflowPunct w:val="0"/>
        <w:spacing w:line="560" w:lineRule="exact"/>
        <w:ind w:firstLine="640" w:firstLineChars="200"/>
        <w:rPr>
          <w:rFonts w:hint="eastAsia" w:ascii="仿宋_GB2312" w:hAnsi="黑体" w:eastAsia="仿宋_GB2312"/>
          <w:sz w:val="32"/>
          <w:szCs w:val="32"/>
        </w:rPr>
      </w:pPr>
      <w:r>
        <w:rPr>
          <w:rFonts w:hint="eastAsia" w:ascii="仿宋_GB2312" w:hAnsi="仿宋_GB2312" w:eastAsia="仿宋_GB2312" w:cs="仿宋_GB2312"/>
          <w:sz w:val="32"/>
          <w:szCs w:val="32"/>
        </w:rPr>
        <w:t>6.为公司重大投资、融资合同提供法律意见、出具法律意见书；</w:t>
      </w:r>
    </w:p>
    <w:p w14:paraId="5C9D3D01">
      <w:pPr>
        <w:widowControl/>
        <w:wordWrap w:val="0"/>
        <w:overflowPunct w:val="0"/>
        <w:spacing w:line="560" w:lineRule="exact"/>
        <w:ind w:firstLine="640" w:firstLineChars="200"/>
        <w:rPr>
          <w:rFonts w:hint="eastAsia" w:ascii="仿宋_GB2312" w:hAnsi="黑体" w:eastAsia="仿宋_GB2312"/>
          <w:sz w:val="32"/>
          <w:szCs w:val="32"/>
        </w:rPr>
      </w:pPr>
      <w:r>
        <w:rPr>
          <w:rFonts w:hint="eastAsia" w:ascii="仿宋_GB2312" w:hAnsi="仿宋_GB2312" w:eastAsia="仿宋_GB2312" w:cs="仿宋_GB2312"/>
          <w:sz w:val="32"/>
          <w:szCs w:val="32"/>
        </w:rPr>
        <w:t>7.为公司大额资金借贷合同、担保合同、经济合同提供法律意见、出具法律意见书；</w:t>
      </w:r>
    </w:p>
    <w:p w14:paraId="173A260F">
      <w:pPr>
        <w:widowControl/>
        <w:wordWrap w:val="0"/>
        <w:overflowPunct w:val="0"/>
        <w:spacing w:line="560" w:lineRule="exact"/>
        <w:ind w:firstLine="640" w:firstLineChars="200"/>
        <w:rPr>
          <w:rFonts w:hint="eastAsia" w:ascii="仿宋_GB2312" w:hAnsi="黑体" w:eastAsia="仿宋_GB2312"/>
          <w:sz w:val="32"/>
          <w:szCs w:val="32"/>
        </w:rPr>
      </w:pPr>
      <w:r>
        <w:rPr>
          <w:rFonts w:hint="eastAsia" w:ascii="仿宋_GB2312" w:hAnsi="仿宋_GB2312" w:eastAsia="仿宋_GB2312" w:cs="仿宋_GB2312"/>
          <w:sz w:val="32"/>
          <w:szCs w:val="32"/>
        </w:rPr>
        <w:t>8.为公司产权转让，重大资产置换、质押、拍卖等重大事项提供法律意见、出具法律意见书；</w:t>
      </w:r>
    </w:p>
    <w:p w14:paraId="2CD2C6FF">
      <w:pPr>
        <w:widowControl/>
        <w:wordWrap w:val="0"/>
        <w:overflowPunct w:val="0"/>
        <w:spacing w:line="560" w:lineRule="exact"/>
        <w:ind w:firstLine="640" w:firstLineChars="200"/>
        <w:rPr>
          <w:rFonts w:hint="eastAsia" w:ascii="仿宋_GB2312" w:hAnsi="黑体" w:eastAsia="仿宋_GB2312"/>
          <w:sz w:val="32"/>
          <w:szCs w:val="32"/>
        </w:rPr>
      </w:pPr>
      <w:r>
        <w:rPr>
          <w:rFonts w:hint="eastAsia" w:ascii="仿宋_GB2312" w:hAnsi="仿宋_GB2312" w:eastAsia="仿宋_GB2312" w:cs="仿宋_GB2312"/>
          <w:sz w:val="32"/>
          <w:szCs w:val="32"/>
        </w:rPr>
        <w:t>9.为公司重大项目招标投标等采购事项提供法律意见、出具法律意见书；</w:t>
      </w:r>
    </w:p>
    <w:p w14:paraId="2D28EB4C">
      <w:pPr>
        <w:widowControl/>
        <w:wordWrap w:val="0"/>
        <w:overflowPunct w:val="0"/>
        <w:spacing w:line="560" w:lineRule="exact"/>
        <w:ind w:firstLine="640" w:firstLineChars="200"/>
        <w:rPr>
          <w:rFonts w:hint="eastAsia" w:ascii="仿宋_GB2312" w:hAnsi="黑体" w:eastAsia="仿宋_GB2312"/>
          <w:sz w:val="32"/>
          <w:szCs w:val="32"/>
        </w:rPr>
      </w:pPr>
      <w:r>
        <w:rPr>
          <w:rFonts w:hint="eastAsia" w:ascii="仿宋_GB2312" w:hAnsi="仿宋_GB2312" w:eastAsia="仿宋_GB2312" w:cs="仿宋_GB2312"/>
          <w:sz w:val="32"/>
          <w:szCs w:val="32"/>
        </w:rPr>
        <w:t>10.为公司报送上级主管单位审核、批准或备案，需要外聘法律顾问出具法律意见书的事项出具法律意见书；</w:t>
      </w:r>
    </w:p>
    <w:p w14:paraId="15D7811A">
      <w:pPr>
        <w:widowControl/>
        <w:wordWrap w:val="0"/>
        <w:overflowPunct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11.为公司重大经营决策事项提供法律意见，出具法律意见书；</w:t>
      </w:r>
    </w:p>
    <w:p w14:paraId="078088A8">
      <w:pPr>
        <w:widowControl/>
        <w:wordWrap w:val="0"/>
        <w:overflowPunct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12.参与磋商、业务谈判、法律纠纷的谈判、协商、调解及风险事件的处置等；</w:t>
      </w:r>
    </w:p>
    <w:p w14:paraId="69075013">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黑体" w:eastAsia="仿宋_GB2312"/>
          <w:sz w:val="32"/>
          <w:szCs w:val="32"/>
        </w:rPr>
        <w:t>13.就公司重大事项或重大案件进行研讨分析。从法律角度提出参考意见等；</w:t>
      </w:r>
    </w:p>
    <w:p w14:paraId="5897C7D6">
      <w:pPr>
        <w:widowControl/>
        <w:wordWrap w:val="0"/>
        <w:overflowPunct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14.协助公司开展法治宣传教育、培训；</w:t>
      </w:r>
    </w:p>
    <w:p w14:paraId="51DA3BE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15.需要参与的其他涉法事务。</w:t>
      </w:r>
    </w:p>
    <w:bookmarkEnd w:id="23"/>
    <w:p w14:paraId="3C38DA9F">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（二）上述服务范围不包括甲方涉及民事、行政、刑事等进入诉讼或者行政复议、劳动、商事仲裁等程序的法律事务，如甲方需要，双方另行协商与签约。</w:t>
      </w:r>
    </w:p>
    <w:p w14:paraId="6C27C719">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乙方应当按照甲方相关规定，向甲方提交《法律服务工作报告》，工作报告的主要内容包括：聘请期间的各类法律服务事项（大致内容、次数、时长），发现的法律问题及提出的建议，对下一步工作的计划等。</w:t>
      </w:r>
    </w:p>
    <w:p w14:paraId="4D0DF2E8">
      <w:pPr>
        <w:wordWrap w:val="0"/>
        <w:overflowPunct w:val="0"/>
        <w:snapToGrid w:val="0"/>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第二条 甲方的权利和义务</w:t>
      </w:r>
    </w:p>
    <w:p w14:paraId="2B2C8C9E">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 甲方应当真实、客观、全面地向乙方提供与常年法律顾问业务有关的各种文件、资料，并介绍有关情况；除紧急事务外，甲方应当提前向常年法律顾问通报，以保证其有合理的准备时间。</w:t>
      </w:r>
    </w:p>
    <w:p w14:paraId="671B572C">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 甲方应当为常年法律顾问办理法律事务提出明确具体、合法合理的要求；不得要求常年法律顾问进行违法或者有违律师执业规范的活动。</w:t>
      </w:r>
    </w:p>
    <w:p w14:paraId="1EEC21A8">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 甲方应当依约按时、足额地向乙方支付法律顾问费。</w:t>
      </w:r>
    </w:p>
    <w:p w14:paraId="63D3E85F">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2.4 甲方有权要求乙方及时更换在服务过程中工作不负责任、或不适合办理甲方委托事项的乙方律师担任常年法律顾问。</w:t>
      </w:r>
    </w:p>
    <w:p w14:paraId="53866325">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2.5 甲方有权要求乙方提供与常年法律顾问工作相关的材料，但法律法规和律师执业规范规定应当保密的材料除外。</w:t>
      </w:r>
    </w:p>
    <w:p w14:paraId="65966C17">
      <w:pPr>
        <w:wordWrap w:val="0"/>
        <w:overflowPunct w:val="0"/>
        <w:snapToGrid w:val="0"/>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第三条 乙方的权利和义务</w:t>
      </w:r>
    </w:p>
    <w:p w14:paraId="56BD8C8A">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 乙方指派</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律师作为甲方常年法律顾问。</w:t>
      </w:r>
    </w:p>
    <w:p w14:paraId="40C57056">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3.1.1 乙方指派的律师因故（仅限于注销律师执业证、自行辞职、被开除、党内记过、受到刑事处罚、重大疾病、利益冲突回避等特殊原因）不能履行职务时，经甲方同意，由乙方另行指派律师，继续完成本合同约定的法律顾问工作。甲方认为不能接替的，可单方面解除合同，法律顾问费按当年已提供的服务的天数占全年的比例进行结算。</w:t>
      </w:r>
    </w:p>
    <w:p w14:paraId="717363CA">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3.1.2 甲方认为乙方指派律师提供的法律服务不符合合同约定或不能满足甲方工作需求的，甲方有权要求乙方更换律师，乙方应当于收到甲方要求之日起三个工作日内重新指派符合条件的律师。更换后甲方认为仍不能满足甲方工作需求的，甲方有权单方面解除合同，法律顾问费按当年已提供的服务的天数占全年的比例进行结算。</w:t>
      </w:r>
    </w:p>
    <w:p w14:paraId="72C82056">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3.1.3 乙方指派的律师需直接参与提供法律服务，如甲方发现乙方指派其他律师提供法律服务，甲方有权单方面解除合同，法律顾问费按当年已提供的服务的天数占全年的比例进行结算。</w:t>
      </w:r>
    </w:p>
    <w:p w14:paraId="028D6913">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 乙方应当依法依理、勤勉尽责地完成本合同第一条第一项所列的法律事务，切实维护甲方的合法权益。</w:t>
      </w:r>
    </w:p>
    <w:p w14:paraId="0604ABB0">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3.3 乙方应当在获得甲方提供的相关文件资料及其他必须的工作条件后，及时完成服务工作，并应甲方要求通报工作进程。</w:t>
      </w:r>
    </w:p>
    <w:p w14:paraId="7C3B31BD">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3.4 乙方对获知的甲方商业秘密或个人隐私负有保密责任，非因法律规定或者甲方同意，不得向任何第三方披露。但以下内容除外：</w:t>
      </w:r>
    </w:p>
    <w:p w14:paraId="05F01657">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（1）刑事犯罪证据；</w:t>
      </w:r>
    </w:p>
    <w:p w14:paraId="6695C784">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（2）可以公开查阅或取得的信息和资料；</w:t>
      </w:r>
    </w:p>
    <w:p w14:paraId="1B1410D6">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（3）为履行本合同所约定的服务必须进行的工作。</w:t>
      </w:r>
    </w:p>
    <w:p w14:paraId="6BD69B36">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乙方违反保密义务的，应承担一切法律责任并赔偿甲方因此遭受的全部损失。</w:t>
      </w:r>
    </w:p>
    <w:p w14:paraId="230D4CAC">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3.5 乙方应当建立工作档案，保存工作记录，以备甲方或上级主管部门考察。</w:t>
      </w:r>
    </w:p>
    <w:p w14:paraId="5043253F">
      <w:pPr>
        <w:wordWrap w:val="0"/>
        <w:overflowPunct w:val="0"/>
        <w:snapToGrid w:val="0"/>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第四条 聘请期限与服务方式</w:t>
      </w:r>
    </w:p>
    <w:p w14:paraId="3AF8B5A8">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 聘请期限：自</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日起至</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日止，共</w:t>
      </w:r>
      <w:r>
        <w:rPr>
          <w:rFonts w:hint="eastAsia" w:ascii="仿宋_GB2312" w:hAnsi="仿宋_GB2312" w:eastAsia="仿宋_GB2312" w:cs="仿宋_GB2312"/>
          <w:sz w:val="32"/>
          <w:szCs w:val="32"/>
          <w:u w:val="single"/>
        </w:rPr>
        <w:t xml:space="preserve"> 壹 </w:t>
      </w:r>
      <w:r>
        <w:rPr>
          <w:rFonts w:hint="eastAsia" w:ascii="仿宋_GB2312" w:hAnsi="仿宋_GB2312" w:eastAsia="仿宋_GB2312" w:cs="仿宋_GB2312"/>
          <w:sz w:val="32"/>
          <w:szCs w:val="32"/>
        </w:rPr>
        <w:t>个工作年度。本合同期满后，双方可协商延长。</w:t>
      </w:r>
    </w:p>
    <w:p w14:paraId="725DCAB7">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 服务方式：</w:t>
      </w:r>
    </w:p>
    <w:p w14:paraId="1336C2C6">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p>
    <w:p w14:paraId="36DAD5CF">
      <w:pPr>
        <w:wordWrap w:val="0"/>
        <w:overflowPunct w:val="0"/>
        <w:snapToGrid w:val="0"/>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第五条 费用的确定与支付</w:t>
      </w:r>
    </w:p>
    <w:p w14:paraId="044942AA">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 收费依据：国家和海南省律师服务收费的现行有效规定。</w:t>
      </w:r>
    </w:p>
    <w:p w14:paraId="098F2CC8">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5.2 法律顾问费：每个工作年度为人民币</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元，总额为人民币</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元；分两期支付。</w:t>
      </w:r>
    </w:p>
    <w:p w14:paraId="54B5B0E6">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 付费时间：第一期：服务合同签订后次日起，收到律师事务所开具的增值税发票5个工作日内支付50%；第二期：服务合同履行6个月后次日起，收到律师事务所开具的增值税发票5个工作日内支付50%。</w:t>
      </w:r>
    </w:p>
    <w:p w14:paraId="595042E4">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5.4 甲方支付法律顾问费前，乙方应按甲方要求提供正规等额发票，否则甲方有权暂缓支付法律顾问费，且不视为甲方违约。乙方收款账号信息有变动的，应当于变动之日起三个工作日内书面函告甲方。</w:t>
      </w:r>
    </w:p>
    <w:p w14:paraId="77230EC6">
      <w:pPr>
        <w:wordWrap w:val="0"/>
        <w:overflowPunct w:val="0"/>
        <w:snapToGrid w:val="0"/>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第六条 知识产权</w:t>
      </w:r>
    </w:p>
    <w:p w14:paraId="16FABBFE">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 甲、乙双方均应保护对方的知识产权。未经对方同意，任何一方均不得擅自修改、复制或向第三人转让因履行本合同而自对方处取得的资料及文件（包括合同、协议及其他文件）或将其用于本合同以外的目的。</w:t>
      </w:r>
    </w:p>
    <w:p w14:paraId="2C0AAEB4">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 乙方及其工作人员在任何出版物（含各类内部资料和内部出版物）出版或发表任何与甲方经营管理活动相关的文章或在公开场合发表相关言论时，应事先征得甲方同意。</w:t>
      </w:r>
    </w:p>
    <w:p w14:paraId="30DD0868">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6.3 本条约定在本合同终止后仍然继续有效，且不受合同解除、终止或无效的影响。</w:t>
      </w:r>
    </w:p>
    <w:p w14:paraId="2A984F88">
      <w:pPr>
        <w:wordWrap w:val="0"/>
        <w:overflowPunct w:val="0"/>
        <w:snapToGrid w:val="0"/>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第七条 利益冲突禁止</w:t>
      </w:r>
    </w:p>
    <w:p w14:paraId="302FCE67">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7.1 乙方应该将已经发生或者正在发生的、为与甲方有利益冲突的第三方当事人提供法律服务的情况及时、如实告知甲方，甲方有权选择继续履行合同或解除合同。</w:t>
      </w:r>
    </w:p>
    <w:p w14:paraId="350E0F86">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7.2 未经甲方许可，乙方不得为有利益冲突的第三方当事人提供任何法律服务。</w:t>
      </w:r>
    </w:p>
    <w:p w14:paraId="777653CE">
      <w:pPr>
        <w:wordWrap w:val="0"/>
        <w:overflowPunct w:val="0"/>
        <w:snapToGrid w:val="0"/>
        <w:spacing w:line="560" w:lineRule="exact"/>
        <w:ind w:firstLine="643" w:firstLineChars="200"/>
        <w:rPr>
          <w:rFonts w:hint="eastAsia" w:ascii="仿宋_GB2312" w:hAnsi="仿宋_GB2312" w:eastAsia="仿宋_GB2312" w:cs="仿宋_GB2312"/>
          <w:b/>
          <w:bCs/>
          <w:sz w:val="32"/>
          <w:szCs w:val="32"/>
        </w:rPr>
      </w:pPr>
      <w:bookmarkStart w:id="24" w:name="_Toc374469628"/>
      <w:bookmarkStart w:id="25" w:name="_Toc81784922"/>
      <w:r>
        <w:rPr>
          <w:rFonts w:hint="eastAsia" w:ascii="仿宋_GB2312" w:hAnsi="仿宋_GB2312" w:eastAsia="仿宋_GB2312" w:cs="仿宋_GB2312"/>
          <w:b/>
          <w:bCs/>
          <w:sz w:val="32"/>
          <w:szCs w:val="32"/>
        </w:rPr>
        <w:t>第八条 违约责任</w:t>
      </w:r>
      <w:bookmarkEnd w:id="24"/>
      <w:bookmarkEnd w:id="25"/>
    </w:p>
    <w:p w14:paraId="1179F4A8">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乙方及其指派律师出现下列行为的，甲方有权解除合同并拒绝支付法律顾问费；已经支付的，甲方有权要求全部退还。给甲方造成损害或损失的，乙方应予以赔偿：</w:t>
      </w:r>
    </w:p>
    <w:p w14:paraId="0EAB9D63">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8.1 违反第一条、第三条、第六条和第七条的规定；</w:t>
      </w:r>
    </w:p>
    <w:p w14:paraId="68C195F6">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8.2无故终止提供法律服务；</w:t>
      </w:r>
    </w:p>
    <w:p w14:paraId="65A2E4A4">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8.3 发生其他严重失职行为。</w:t>
      </w:r>
    </w:p>
    <w:p w14:paraId="352A6575">
      <w:pPr>
        <w:pStyle w:val="20"/>
        <w:pBdr>
          <w:top w:val="none" w:color="auto" w:sz="0" w:space="1"/>
          <w:left w:val="none" w:color="auto" w:sz="0" w:space="4"/>
          <w:bottom w:val="none" w:color="auto" w:sz="0" w:space="1"/>
          <w:right w:val="none" w:color="auto" w:sz="0" w:space="4"/>
        </w:pBdr>
        <w:wordWrap w:val="0"/>
        <w:overflowPunct w:val="0"/>
        <w:spacing w:line="560" w:lineRule="exact"/>
        <w:ind w:firstLine="643" w:firstLineChars="200"/>
        <w:jc w:val="both"/>
        <w:rPr>
          <w:rFonts w:hint="eastAsia" w:ascii="仿宋_GB2312" w:hAnsi="仿宋_GB2312" w:eastAsia="仿宋_GB2312" w:cs="仿宋_GB2312"/>
          <w:b/>
          <w:bCs/>
          <w:sz w:val="32"/>
          <w:szCs w:val="32"/>
          <w:lang w:val="en-US"/>
        </w:rPr>
      </w:pPr>
      <w:r>
        <w:rPr>
          <w:rFonts w:hint="eastAsia" w:ascii="仿宋_GB2312" w:hAnsi="仿宋_GB2312" w:eastAsia="仿宋_GB2312" w:cs="仿宋_GB2312"/>
          <w:b/>
          <w:bCs/>
          <w:sz w:val="32"/>
          <w:szCs w:val="32"/>
          <w:lang w:val="en-US"/>
        </w:rPr>
        <w:t>第九条 本合同组成文件包括：</w:t>
      </w:r>
    </w:p>
    <w:p w14:paraId="36831957">
      <w:pPr>
        <w:pStyle w:val="20"/>
        <w:pBdr>
          <w:top w:val="none" w:color="auto" w:sz="0" w:space="1"/>
          <w:left w:val="none" w:color="auto" w:sz="0" w:space="4"/>
          <w:bottom w:val="none" w:color="auto" w:sz="0" w:space="1"/>
          <w:right w:val="none" w:color="auto" w:sz="0" w:space="4"/>
        </w:pBdr>
        <w:wordWrap w:val="0"/>
        <w:overflowPunct w:val="0"/>
        <w:spacing w:line="560" w:lineRule="exact"/>
        <w:ind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9.1 合同条款</w:t>
      </w:r>
    </w:p>
    <w:p w14:paraId="5E6FDE4B">
      <w:pPr>
        <w:pStyle w:val="20"/>
        <w:pBdr>
          <w:top w:val="none" w:color="auto" w:sz="0" w:space="1"/>
          <w:left w:val="none" w:color="auto" w:sz="0" w:space="4"/>
          <w:bottom w:val="none" w:color="auto" w:sz="0" w:space="1"/>
          <w:right w:val="none" w:color="auto" w:sz="0" w:space="4"/>
        </w:pBdr>
        <w:wordWrap w:val="0"/>
        <w:overflowPunct w:val="0"/>
        <w:spacing w:line="560" w:lineRule="exact"/>
        <w:ind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9.2 比选文件</w:t>
      </w:r>
    </w:p>
    <w:p w14:paraId="04AFCC39">
      <w:pPr>
        <w:pStyle w:val="20"/>
        <w:pBdr>
          <w:top w:val="none" w:color="auto" w:sz="0" w:space="1"/>
          <w:left w:val="none" w:color="auto" w:sz="0" w:space="4"/>
          <w:bottom w:val="none" w:color="auto" w:sz="0" w:space="1"/>
          <w:right w:val="none" w:color="auto" w:sz="0" w:space="4"/>
        </w:pBdr>
        <w:wordWrap w:val="0"/>
        <w:overflowPunct w:val="0"/>
        <w:spacing w:line="560" w:lineRule="exact"/>
        <w:ind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9.3 参选文件</w:t>
      </w:r>
    </w:p>
    <w:p w14:paraId="673A6C8A">
      <w:pPr>
        <w:pStyle w:val="20"/>
        <w:pBdr>
          <w:top w:val="none" w:color="auto" w:sz="0" w:space="1"/>
          <w:left w:val="none" w:color="auto" w:sz="0" w:space="4"/>
          <w:bottom w:val="none" w:color="auto" w:sz="0" w:space="1"/>
          <w:right w:val="none" w:color="auto" w:sz="0" w:space="4"/>
        </w:pBdr>
        <w:wordWrap w:val="0"/>
        <w:overflowPunct w:val="0"/>
        <w:spacing w:line="560" w:lineRule="exact"/>
        <w:ind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9.4 参选人在参选过程中做出的书面说明或承诺</w:t>
      </w:r>
    </w:p>
    <w:p w14:paraId="4762CF10">
      <w:pPr>
        <w:pStyle w:val="20"/>
        <w:pBdr>
          <w:top w:val="none" w:color="auto" w:sz="0" w:space="1"/>
          <w:left w:val="none" w:color="auto" w:sz="0" w:space="4"/>
          <w:bottom w:val="none" w:color="auto" w:sz="0" w:space="1"/>
          <w:right w:val="none" w:color="auto" w:sz="0" w:space="4"/>
        </w:pBdr>
        <w:wordWrap w:val="0"/>
        <w:overflowPunct w:val="0"/>
        <w:spacing w:line="560" w:lineRule="exact"/>
        <w:ind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9.5 中选结果通知书</w:t>
      </w:r>
    </w:p>
    <w:p w14:paraId="34AE65FD">
      <w:pPr>
        <w:pStyle w:val="20"/>
        <w:pBdr>
          <w:top w:val="none" w:color="auto" w:sz="0" w:space="1"/>
          <w:left w:val="none" w:color="auto" w:sz="0" w:space="4"/>
          <w:bottom w:val="none" w:color="auto" w:sz="0" w:space="1"/>
          <w:right w:val="none" w:color="auto" w:sz="0" w:space="4"/>
        </w:pBdr>
        <w:wordWrap w:val="0"/>
        <w:overflowPunct w:val="0"/>
        <w:spacing w:line="560" w:lineRule="exact"/>
        <w:ind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9.6 补充协议条款</w:t>
      </w:r>
    </w:p>
    <w:p w14:paraId="218B7833">
      <w:pPr>
        <w:pStyle w:val="20"/>
        <w:pBdr>
          <w:top w:val="none" w:color="auto" w:sz="0" w:space="1"/>
          <w:left w:val="none" w:color="auto" w:sz="0" w:space="4"/>
          <w:bottom w:val="none" w:color="auto" w:sz="0" w:space="1"/>
          <w:right w:val="none" w:color="auto" w:sz="0" w:space="4"/>
        </w:pBdr>
        <w:wordWrap w:val="0"/>
        <w:overflowPunct w:val="0"/>
        <w:spacing w:line="560" w:lineRule="exact"/>
        <w:ind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9.7 甲、乙双方商定的其他必要文件</w:t>
      </w:r>
    </w:p>
    <w:p w14:paraId="7E8EF578">
      <w:pPr>
        <w:pStyle w:val="20"/>
        <w:pBdr>
          <w:top w:val="none" w:color="auto" w:sz="0" w:space="1"/>
          <w:left w:val="none" w:color="auto" w:sz="0" w:space="4"/>
          <w:bottom w:val="none" w:color="auto" w:sz="0" w:space="1"/>
          <w:right w:val="none" w:color="auto" w:sz="0" w:space="4"/>
        </w:pBdr>
        <w:wordWrap w:val="0"/>
        <w:overflowPunct w:val="0"/>
        <w:spacing w:line="560" w:lineRule="exact"/>
        <w:ind w:firstLine="640" w:firstLineChars="200"/>
        <w:jc w:val="both"/>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上述合同文件内容互为补充，如有不明确，甲方有权解释。</w:t>
      </w:r>
    </w:p>
    <w:p w14:paraId="4D6BFE98">
      <w:pPr>
        <w:wordWrap w:val="0"/>
        <w:overflowPunct w:val="0"/>
        <w:snapToGrid w:val="0"/>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第十条 联系方式</w:t>
      </w:r>
    </w:p>
    <w:p w14:paraId="4312ECC1">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甲方确认下列通讯方式及联系人是乙方受聘完成甲方常年法律顾问工作向甲方履行通知义务的通讯方式及联系人：</w:t>
      </w:r>
    </w:p>
    <w:p w14:paraId="4811724B">
      <w:pPr>
        <w:wordWrap w:val="0"/>
        <w:overflowPunct w:val="0"/>
        <w:snapToGrid w:val="0"/>
        <w:spacing w:line="560" w:lineRule="exact"/>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p>
    <w:p w14:paraId="605A7A57">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如果甲方变更通讯方式或联系人，需提前七日书面通知乙方。</w:t>
      </w:r>
    </w:p>
    <w:p w14:paraId="0A14464F">
      <w:pPr>
        <w:wordWrap w:val="0"/>
        <w:overflowPunct w:val="0"/>
        <w:snapToGrid w:val="0"/>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第十一条 争议解决方法</w:t>
      </w:r>
    </w:p>
    <w:p w14:paraId="46D9EAFD">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因履行本合同发生争议，双方应友好协商；协商不成的，可选择下列第2种方式解决。</w:t>
      </w:r>
    </w:p>
    <w:p w14:paraId="3118BEC8">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11.1 提交海南仲裁委员会仲裁；</w:t>
      </w:r>
    </w:p>
    <w:p w14:paraId="1D5BD474">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11.2 向甲方所在地人民法院提起诉讼。</w:t>
      </w:r>
    </w:p>
    <w:p w14:paraId="66F218CA">
      <w:pPr>
        <w:wordWrap w:val="0"/>
        <w:overflowPunct w:val="0"/>
        <w:snapToGrid w:val="0"/>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第十二条 其他</w:t>
      </w:r>
    </w:p>
    <w:p w14:paraId="70ADF57D">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12.1 本合同一式</w:t>
      </w:r>
      <w:r>
        <w:rPr>
          <w:rFonts w:hint="eastAsia" w:ascii="仿宋_GB2312" w:hAnsi="仿宋_GB2312" w:eastAsia="仿宋_GB2312" w:cs="仿宋_GB2312"/>
          <w:sz w:val="32"/>
          <w:szCs w:val="32"/>
          <w:u w:val="single"/>
        </w:rPr>
        <w:t xml:space="preserve"> 贰 </w:t>
      </w:r>
      <w:r>
        <w:rPr>
          <w:rFonts w:hint="eastAsia" w:ascii="仿宋_GB2312" w:hAnsi="仿宋_GB2312" w:eastAsia="仿宋_GB2312" w:cs="仿宋_GB2312"/>
          <w:sz w:val="32"/>
          <w:szCs w:val="32"/>
        </w:rPr>
        <w:t>份，双方各执</w:t>
      </w:r>
      <w:r>
        <w:rPr>
          <w:rFonts w:hint="eastAsia" w:ascii="仿宋_GB2312" w:hAnsi="仿宋_GB2312" w:eastAsia="仿宋_GB2312" w:cs="仿宋_GB2312"/>
          <w:sz w:val="32"/>
          <w:szCs w:val="32"/>
          <w:u w:val="single"/>
        </w:rPr>
        <w:t xml:space="preserve"> 壹 </w:t>
      </w:r>
      <w:r>
        <w:rPr>
          <w:rFonts w:hint="eastAsia" w:ascii="仿宋_GB2312" w:hAnsi="仿宋_GB2312" w:eastAsia="仿宋_GB2312" w:cs="仿宋_GB2312"/>
          <w:sz w:val="32"/>
          <w:szCs w:val="32"/>
        </w:rPr>
        <w:t>份，自甲、乙双方签字或盖章之日起生效。</w:t>
      </w:r>
    </w:p>
    <w:p w14:paraId="5CAFC321">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12.2 甲、乙双方承诺：已认真审阅本合同所有格式条款并完全了解其详尽内容；本合同所有条款均属双方平等且完全协商一致而达成。</w:t>
      </w:r>
    </w:p>
    <w:p w14:paraId="5DDDB99B">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12.3 未尽事宜，甲、乙双方可在本条另行特别约定：</w:t>
      </w:r>
    </w:p>
    <w:p w14:paraId="1E264960">
      <w:pPr>
        <w:wordWrap w:val="0"/>
        <w:overflowPunct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p>
    <w:p w14:paraId="3DD9A817">
      <w:pPr>
        <w:wordWrap w:val="0"/>
        <w:overflowPunct w:val="0"/>
        <w:snapToGrid w:val="0"/>
        <w:spacing w:line="560" w:lineRule="exact"/>
        <w:rPr>
          <w:rFonts w:hint="eastAsia" w:ascii="仿宋_GB2312" w:hAnsi="仿宋_GB2312" w:eastAsia="仿宋_GB2312" w:cs="仿宋_GB2312"/>
          <w:sz w:val="32"/>
          <w:szCs w:val="32"/>
        </w:rPr>
      </w:pPr>
    </w:p>
    <w:tbl>
      <w:tblPr>
        <w:tblStyle w:val="29"/>
        <w:tblpPr w:leftFromText="180" w:rightFromText="180" w:vertAnchor="text" w:horzAnchor="page" w:tblpXSpec="center" w:tblpY="318"/>
        <w:tblOverlap w:val="never"/>
        <w:tblW w:w="0" w:type="auto"/>
        <w:jc w:val="center"/>
        <w:tblLayout w:type="fixed"/>
        <w:tblCellMar>
          <w:top w:w="0" w:type="dxa"/>
          <w:left w:w="0" w:type="dxa"/>
          <w:bottom w:w="0" w:type="dxa"/>
          <w:right w:w="0" w:type="dxa"/>
        </w:tblCellMar>
      </w:tblPr>
      <w:tblGrid>
        <w:gridCol w:w="4508"/>
        <w:gridCol w:w="4511"/>
      </w:tblGrid>
      <w:tr w14:paraId="00A6D6D5">
        <w:tblPrEx>
          <w:tblCellMar>
            <w:top w:w="0" w:type="dxa"/>
            <w:left w:w="0" w:type="dxa"/>
            <w:bottom w:w="0" w:type="dxa"/>
            <w:right w:w="0" w:type="dxa"/>
          </w:tblCellMar>
        </w:tblPrEx>
        <w:trPr>
          <w:trHeight w:val="417" w:hRule="atLeast"/>
          <w:jc w:val="center"/>
        </w:trPr>
        <w:tc>
          <w:tcPr>
            <w:tcW w:w="4508" w:type="dxa"/>
          </w:tcPr>
          <w:p w14:paraId="62124761">
            <w:pPr>
              <w:tabs>
                <w:tab w:val="left" w:pos="1785"/>
              </w:tabs>
              <w:wordWrap w:val="0"/>
              <w:overflowPunct w:val="0"/>
              <w:autoSpaceDE w:val="0"/>
              <w:autoSpaceDN w:val="0"/>
              <w:spacing w:line="560" w:lineRule="exact"/>
              <w:rPr>
                <w:rFonts w:hint="eastAsia" w:ascii="仿宋_GB2312" w:hAnsi="仿宋_GB2312" w:eastAsia="仿宋_GB2312" w:cs="仿宋_GB2312"/>
                <w:sz w:val="32"/>
                <w:szCs w:val="32"/>
                <w:lang w:val="zh-CN" w:bidi="zh-CN"/>
              </w:rPr>
            </w:pPr>
            <w:r>
              <w:rPr>
                <w:rFonts w:hint="eastAsia" w:ascii="仿宋_GB2312" w:hAnsi="仿宋_GB2312" w:eastAsia="仿宋_GB2312" w:cs="仿宋_GB2312"/>
                <w:sz w:val="32"/>
                <w:szCs w:val="32"/>
                <w:lang w:val="zh-CN" w:bidi="zh-CN"/>
              </w:rPr>
              <w:t>甲方：海南华琨实业开发有限公司</w:t>
            </w:r>
          </w:p>
        </w:tc>
        <w:tc>
          <w:tcPr>
            <w:tcW w:w="4511" w:type="dxa"/>
          </w:tcPr>
          <w:p w14:paraId="724949F3">
            <w:pPr>
              <w:tabs>
                <w:tab w:val="left" w:pos="1785"/>
              </w:tabs>
              <w:wordWrap w:val="0"/>
              <w:overflowPunct w:val="0"/>
              <w:autoSpaceDE w:val="0"/>
              <w:autoSpaceDN w:val="0"/>
              <w:spacing w:line="560" w:lineRule="exact"/>
              <w:rPr>
                <w:rFonts w:hint="eastAsia" w:ascii="仿宋_GB2312" w:hAnsi="仿宋_GB2312" w:eastAsia="仿宋_GB2312" w:cs="仿宋_GB2312"/>
                <w:sz w:val="32"/>
                <w:szCs w:val="32"/>
                <w:lang w:val="zh-CN" w:bidi="zh-CN"/>
              </w:rPr>
            </w:pPr>
            <w:r>
              <w:rPr>
                <w:rFonts w:hint="eastAsia" w:ascii="仿宋_GB2312" w:hAnsi="仿宋_GB2312" w:eastAsia="仿宋_GB2312" w:cs="仿宋_GB2312"/>
                <w:sz w:val="32"/>
                <w:szCs w:val="32"/>
                <w:lang w:val="zh-CN" w:bidi="zh-CN"/>
              </w:rPr>
              <w:t>乙方：</w:t>
            </w:r>
          </w:p>
        </w:tc>
      </w:tr>
      <w:tr w14:paraId="0A62CD94">
        <w:tblPrEx>
          <w:tblCellMar>
            <w:top w:w="0" w:type="dxa"/>
            <w:left w:w="0" w:type="dxa"/>
            <w:bottom w:w="0" w:type="dxa"/>
            <w:right w:w="0" w:type="dxa"/>
          </w:tblCellMar>
        </w:tblPrEx>
        <w:trPr>
          <w:trHeight w:val="608" w:hRule="atLeast"/>
          <w:jc w:val="center"/>
        </w:trPr>
        <w:tc>
          <w:tcPr>
            <w:tcW w:w="4508" w:type="dxa"/>
          </w:tcPr>
          <w:p w14:paraId="1B8C5E0E">
            <w:pPr>
              <w:wordWrap w:val="0"/>
              <w:overflowPunct w:val="0"/>
              <w:autoSpaceDE w:val="0"/>
              <w:autoSpaceDN w:val="0"/>
              <w:spacing w:line="560" w:lineRule="exact"/>
              <w:rPr>
                <w:rFonts w:hint="eastAsia" w:ascii="仿宋_GB2312" w:hAnsi="仿宋_GB2312" w:eastAsia="仿宋_GB2312" w:cs="仿宋_GB2312"/>
                <w:sz w:val="32"/>
                <w:szCs w:val="32"/>
                <w:lang w:val="zh-CN" w:bidi="zh-CN"/>
              </w:rPr>
            </w:pPr>
            <w:r>
              <w:rPr>
                <w:rFonts w:hint="eastAsia" w:ascii="仿宋_GB2312" w:hAnsi="仿宋_GB2312" w:eastAsia="仿宋_GB2312" w:cs="仿宋_GB2312"/>
                <w:sz w:val="32"/>
                <w:szCs w:val="32"/>
                <w:lang w:val="zh-CN" w:bidi="zh-CN"/>
              </w:rPr>
              <w:t>法定代表人：</w:t>
            </w:r>
          </w:p>
        </w:tc>
        <w:tc>
          <w:tcPr>
            <w:tcW w:w="4511" w:type="dxa"/>
          </w:tcPr>
          <w:p w14:paraId="73010D29">
            <w:pPr>
              <w:wordWrap w:val="0"/>
              <w:overflowPunct w:val="0"/>
              <w:autoSpaceDE w:val="0"/>
              <w:autoSpaceDN w:val="0"/>
              <w:spacing w:line="560" w:lineRule="exact"/>
              <w:rPr>
                <w:rFonts w:hint="eastAsia" w:ascii="仿宋_GB2312" w:hAnsi="仿宋_GB2312" w:eastAsia="仿宋_GB2312" w:cs="仿宋_GB2312"/>
                <w:sz w:val="32"/>
                <w:szCs w:val="32"/>
                <w:lang w:val="zh-CN" w:bidi="zh-CN"/>
              </w:rPr>
            </w:pPr>
            <w:r>
              <w:rPr>
                <w:rFonts w:hint="eastAsia" w:ascii="仿宋_GB2312" w:hAnsi="仿宋_GB2312" w:eastAsia="仿宋_GB2312" w:cs="仿宋_GB2312"/>
                <w:sz w:val="32"/>
                <w:szCs w:val="32"/>
                <w:lang w:val="zh-CN" w:bidi="zh-CN"/>
              </w:rPr>
              <w:t>法定代表人：</w:t>
            </w:r>
          </w:p>
        </w:tc>
      </w:tr>
      <w:tr w14:paraId="1068A438">
        <w:tblPrEx>
          <w:tblCellMar>
            <w:top w:w="0" w:type="dxa"/>
            <w:left w:w="0" w:type="dxa"/>
            <w:bottom w:w="0" w:type="dxa"/>
            <w:right w:w="0" w:type="dxa"/>
          </w:tblCellMar>
        </w:tblPrEx>
        <w:trPr>
          <w:trHeight w:val="614" w:hRule="atLeast"/>
          <w:jc w:val="center"/>
        </w:trPr>
        <w:tc>
          <w:tcPr>
            <w:tcW w:w="4508" w:type="dxa"/>
          </w:tcPr>
          <w:p w14:paraId="0B756363">
            <w:pPr>
              <w:wordWrap w:val="0"/>
              <w:overflowPunct w:val="0"/>
              <w:autoSpaceDE w:val="0"/>
              <w:autoSpaceDN w:val="0"/>
              <w:spacing w:line="560" w:lineRule="exact"/>
              <w:rPr>
                <w:rFonts w:hint="eastAsia" w:ascii="仿宋_GB2312" w:hAnsi="仿宋_GB2312" w:eastAsia="仿宋_GB2312" w:cs="仿宋_GB2312"/>
                <w:sz w:val="32"/>
                <w:szCs w:val="32"/>
                <w:lang w:val="zh-CN" w:bidi="zh-CN"/>
              </w:rPr>
            </w:pPr>
            <w:r>
              <w:rPr>
                <w:rFonts w:hint="eastAsia" w:ascii="仿宋_GB2312" w:hAnsi="仿宋_GB2312" w:eastAsia="仿宋_GB2312" w:cs="仿宋_GB2312"/>
                <w:sz w:val="32"/>
                <w:szCs w:val="32"/>
                <w:lang w:val="zh-CN" w:bidi="zh-CN"/>
              </w:rPr>
              <w:t>地址：</w:t>
            </w:r>
          </w:p>
        </w:tc>
        <w:tc>
          <w:tcPr>
            <w:tcW w:w="4511" w:type="dxa"/>
          </w:tcPr>
          <w:p w14:paraId="31727E6B">
            <w:pPr>
              <w:wordWrap w:val="0"/>
              <w:overflowPunct w:val="0"/>
              <w:autoSpaceDE w:val="0"/>
              <w:autoSpaceDN w:val="0"/>
              <w:spacing w:line="560" w:lineRule="exact"/>
              <w:rPr>
                <w:rFonts w:hint="eastAsia" w:ascii="仿宋_GB2312" w:hAnsi="仿宋_GB2312" w:eastAsia="仿宋_GB2312" w:cs="仿宋_GB2312"/>
                <w:sz w:val="32"/>
                <w:szCs w:val="32"/>
                <w:lang w:val="zh-CN" w:bidi="zh-CN"/>
              </w:rPr>
            </w:pPr>
            <w:r>
              <w:rPr>
                <w:rFonts w:hint="eastAsia" w:ascii="仿宋_GB2312" w:hAnsi="仿宋_GB2312" w:eastAsia="仿宋_GB2312" w:cs="仿宋_GB2312"/>
                <w:sz w:val="32"/>
                <w:szCs w:val="32"/>
                <w:lang w:val="zh-CN" w:bidi="zh-CN"/>
              </w:rPr>
              <w:t>地址：</w:t>
            </w:r>
          </w:p>
        </w:tc>
      </w:tr>
      <w:tr w14:paraId="3C25EAFD">
        <w:tblPrEx>
          <w:tblCellMar>
            <w:top w:w="0" w:type="dxa"/>
            <w:left w:w="0" w:type="dxa"/>
            <w:bottom w:w="0" w:type="dxa"/>
            <w:right w:w="0" w:type="dxa"/>
          </w:tblCellMar>
        </w:tblPrEx>
        <w:trPr>
          <w:trHeight w:val="607" w:hRule="atLeast"/>
          <w:jc w:val="center"/>
        </w:trPr>
        <w:tc>
          <w:tcPr>
            <w:tcW w:w="4508" w:type="dxa"/>
          </w:tcPr>
          <w:p w14:paraId="1970A78D">
            <w:pPr>
              <w:wordWrap w:val="0"/>
              <w:overflowPunct w:val="0"/>
              <w:autoSpaceDE w:val="0"/>
              <w:autoSpaceDN w:val="0"/>
              <w:spacing w:line="560" w:lineRule="exact"/>
              <w:rPr>
                <w:rFonts w:hint="eastAsia" w:ascii="仿宋_GB2312" w:hAnsi="仿宋_GB2312" w:eastAsia="仿宋_GB2312" w:cs="仿宋_GB2312"/>
                <w:sz w:val="32"/>
                <w:szCs w:val="32"/>
                <w:lang w:val="zh-CN" w:bidi="zh-CN"/>
              </w:rPr>
            </w:pPr>
            <w:r>
              <w:rPr>
                <w:rFonts w:hint="eastAsia" w:ascii="仿宋_GB2312" w:hAnsi="仿宋_GB2312" w:eastAsia="仿宋_GB2312" w:cs="仿宋_GB2312"/>
                <w:sz w:val="32"/>
                <w:szCs w:val="32"/>
                <w:lang w:val="zh-CN" w:bidi="zh-CN"/>
              </w:rPr>
              <w:t>电话：</w:t>
            </w:r>
          </w:p>
        </w:tc>
        <w:tc>
          <w:tcPr>
            <w:tcW w:w="4511" w:type="dxa"/>
          </w:tcPr>
          <w:p w14:paraId="11D89056">
            <w:pPr>
              <w:wordWrap w:val="0"/>
              <w:overflowPunct w:val="0"/>
              <w:autoSpaceDE w:val="0"/>
              <w:autoSpaceDN w:val="0"/>
              <w:spacing w:line="560" w:lineRule="exact"/>
              <w:rPr>
                <w:rFonts w:hint="eastAsia" w:ascii="仿宋_GB2312" w:hAnsi="仿宋_GB2312" w:eastAsia="仿宋_GB2312" w:cs="仿宋_GB2312"/>
                <w:sz w:val="32"/>
                <w:szCs w:val="32"/>
                <w:lang w:val="zh-CN" w:bidi="zh-CN"/>
              </w:rPr>
            </w:pPr>
            <w:r>
              <w:rPr>
                <w:rFonts w:hint="eastAsia" w:ascii="仿宋_GB2312" w:hAnsi="仿宋_GB2312" w:eastAsia="仿宋_GB2312" w:cs="仿宋_GB2312"/>
                <w:sz w:val="32"/>
                <w:szCs w:val="32"/>
                <w:lang w:val="zh-CN" w:bidi="zh-CN"/>
              </w:rPr>
              <w:t>电话：</w:t>
            </w:r>
          </w:p>
        </w:tc>
      </w:tr>
      <w:tr w14:paraId="24D058C1">
        <w:tblPrEx>
          <w:tblCellMar>
            <w:top w:w="0" w:type="dxa"/>
            <w:left w:w="0" w:type="dxa"/>
            <w:bottom w:w="0" w:type="dxa"/>
            <w:right w:w="0" w:type="dxa"/>
          </w:tblCellMar>
        </w:tblPrEx>
        <w:trPr>
          <w:trHeight w:val="635" w:hRule="atLeast"/>
          <w:jc w:val="center"/>
        </w:trPr>
        <w:tc>
          <w:tcPr>
            <w:tcW w:w="4508" w:type="dxa"/>
          </w:tcPr>
          <w:p w14:paraId="15B4CB26">
            <w:pPr>
              <w:wordWrap w:val="0"/>
              <w:overflowPunct w:val="0"/>
              <w:autoSpaceDE w:val="0"/>
              <w:autoSpaceDN w:val="0"/>
              <w:spacing w:line="560" w:lineRule="exact"/>
              <w:rPr>
                <w:rFonts w:hint="eastAsia" w:ascii="仿宋_GB2312" w:hAnsi="仿宋_GB2312" w:eastAsia="仿宋_GB2312" w:cs="仿宋_GB2312"/>
                <w:sz w:val="32"/>
                <w:szCs w:val="32"/>
                <w:lang w:val="zh-CN" w:bidi="zh-CN"/>
              </w:rPr>
            </w:pPr>
            <w:r>
              <w:rPr>
                <w:rFonts w:hint="eastAsia" w:ascii="仿宋_GB2312" w:hAnsi="仿宋_GB2312" w:eastAsia="仿宋_GB2312" w:cs="仿宋_GB2312"/>
                <w:sz w:val="32"/>
                <w:szCs w:val="32"/>
                <w:lang w:val="zh-CN" w:bidi="zh-CN"/>
              </w:rPr>
              <w:t>开户行：</w:t>
            </w:r>
          </w:p>
        </w:tc>
        <w:tc>
          <w:tcPr>
            <w:tcW w:w="4511" w:type="dxa"/>
          </w:tcPr>
          <w:p w14:paraId="53E21F1C">
            <w:pPr>
              <w:wordWrap w:val="0"/>
              <w:overflowPunct w:val="0"/>
              <w:autoSpaceDE w:val="0"/>
              <w:autoSpaceDN w:val="0"/>
              <w:spacing w:line="560" w:lineRule="exact"/>
              <w:rPr>
                <w:rFonts w:hint="eastAsia" w:ascii="仿宋_GB2312" w:hAnsi="仿宋_GB2312" w:eastAsia="仿宋_GB2312" w:cs="仿宋_GB2312"/>
                <w:sz w:val="32"/>
                <w:szCs w:val="32"/>
                <w:lang w:val="zh-CN" w:bidi="zh-CN"/>
              </w:rPr>
            </w:pPr>
            <w:r>
              <w:rPr>
                <w:rFonts w:hint="eastAsia" w:ascii="仿宋_GB2312" w:hAnsi="仿宋_GB2312" w:eastAsia="仿宋_GB2312" w:cs="仿宋_GB2312"/>
                <w:sz w:val="32"/>
                <w:szCs w:val="32"/>
                <w:lang w:val="zh-CN" w:bidi="zh-CN"/>
              </w:rPr>
              <w:t>开户行：</w:t>
            </w:r>
          </w:p>
        </w:tc>
      </w:tr>
      <w:tr w14:paraId="3C32D905">
        <w:tblPrEx>
          <w:tblCellMar>
            <w:top w:w="0" w:type="dxa"/>
            <w:left w:w="0" w:type="dxa"/>
            <w:bottom w:w="0" w:type="dxa"/>
            <w:right w:w="0" w:type="dxa"/>
          </w:tblCellMar>
        </w:tblPrEx>
        <w:trPr>
          <w:trHeight w:val="337" w:hRule="atLeast"/>
          <w:jc w:val="center"/>
        </w:trPr>
        <w:tc>
          <w:tcPr>
            <w:tcW w:w="4508" w:type="dxa"/>
          </w:tcPr>
          <w:p w14:paraId="67E9A6F2">
            <w:pPr>
              <w:wordWrap w:val="0"/>
              <w:overflowPunct w:val="0"/>
              <w:autoSpaceDE w:val="0"/>
              <w:autoSpaceDN w:val="0"/>
              <w:spacing w:line="560" w:lineRule="exact"/>
              <w:rPr>
                <w:rFonts w:hint="eastAsia" w:ascii="仿宋_GB2312" w:hAnsi="仿宋_GB2312" w:eastAsia="仿宋_GB2312" w:cs="仿宋_GB2312"/>
                <w:sz w:val="32"/>
                <w:szCs w:val="32"/>
                <w:lang w:val="zh-CN" w:bidi="zh-CN"/>
              </w:rPr>
            </w:pPr>
            <w:r>
              <w:rPr>
                <w:rFonts w:hint="eastAsia" w:ascii="仿宋_GB2312" w:hAnsi="仿宋_GB2312" w:eastAsia="仿宋_GB2312" w:cs="仿宋_GB2312"/>
                <w:sz w:val="32"/>
                <w:szCs w:val="32"/>
                <w:lang w:val="zh-CN" w:bidi="zh-CN"/>
              </w:rPr>
              <w:t>帐号：</w:t>
            </w:r>
          </w:p>
        </w:tc>
        <w:tc>
          <w:tcPr>
            <w:tcW w:w="4511" w:type="dxa"/>
          </w:tcPr>
          <w:p w14:paraId="09B69305">
            <w:pPr>
              <w:wordWrap w:val="0"/>
              <w:overflowPunct w:val="0"/>
              <w:autoSpaceDE w:val="0"/>
              <w:autoSpaceDN w:val="0"/>
              <w:spacing w:line="560" w:lineRule="exact"/>
              <w:rPr>
                <w:rFonts w:hint="eastAsia" w:ascii="仿宋_GB2312" w:hAnsi="仿宋_GB2312" w:eastAsia="仿宋_GB2312" w:cs="仿宋_GB2312"/>
                <w:sz w:val="32"/>
                <w:szCs w:val="32"/>
                <w:lang w:bidi="zh-CN"/>
              </w:rPr>
            </w:pPr>
            <w:r>
              <w:rPr>
                <w:rFonts w:hint="eastAsia" w:ascii="仿宋_GB2312" w:hAnsi="仿宋_GB2312" w:eastAsia="仿宋_GB2312" w:cs="仿宋_GB2312"/>
                <w:sz w:val="32"/>
                <w:szCs w:val="32"/>
                <w:lang w:val="zh-CN" w:bidi="zh-CN"/>
              </w:rPr>
              <w:t>帐号：</w:t>
            </w:r>
          </w:p>
        </w:tc>
      </w:tr>
    </w:tbl>
    <w:p w14:paraId="05BC631F">
      <w:pPr>
        <w:pStyle w:val="12"/>
        <w:wordWrap w:val="0"/>
        <w:overflowPunct w:val="0"/>
        <w:spacing w:line="560" w:lineRule="exact"/>
        <w:rPr>
          <w:rFonts w:hint="eastAsia" w:ascii="仿宋_GB2312" w:hAnsi="仿宋_GB2312" w:eastAsia="仿宋_GB2312" w:cs="仿宋_GB2312"/>
          <w:sz w:val="32"/>
          <w:szCs w:val="32"/>
        </w:rPr>
      </w:pPr>
    </w:p>
    <w:p w14:paraId="2733489F">
      <w:pPr>
        <w:pStyle w:val="12"/>
        <w:wordWrap w:val="0"/>
        <w:overflowPunct w:val="0"/>
        <w:spacing w:line="560" w:lineRule="exact"/>
        <w:rPr>
          <w:rFonts w:hint="eastAsia" w:ascii="仿宋_GB2312" w:hAnsi="仿宋_GB2312" w:eastAsia="仿宋_GB2312" w:cs="仿宋_GB2312"/>
          <w:sz w:val="32"/>
          <w:szCs w:val="32"/>
        </w:rPr>
      </w:pPr>
    </w:p>
    <w:p w14:paraId="7575C39D">
      <w:pPr>
        <w:pStyle w:val="12"/>
        <w:tabs>
          <w:tab w:val="left" w:pos="7183"/>
          <w:tab w:val="left" w:pos="8162"/>
          <w:tab w:val="left" w:pos="9002"/>
        </w:tabs>
        <w:wordWrap w:val="0"/>
        <w:overflowPunct w:val="0"/>
        <w:spacing w:line="56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签订日</w:t>
      </w:r>
      <w:r>
        <w:rPr>
          <w:rFonts w:hint="eastAsia" w:ascii="仿宋_GB2312" w:hAnsi="仿宋_GB2312" w:eastAsia="仿宋_GB2312" w:cs="仿宋_GB2312"/>
          <w:spacing w:val="-3"/>
          <w:sz w:val="32"/>
          <w:szCs w:val="32"/>
        </w:rPr>
        <w:t>期</w:t>
      </w:r>
      <w:r>
        <w:rPr>
          <w:rFonts w:hint="eastAsia" w:ascii="仿宋_GB2312" w:hAnsi="仿宋_GB2312" w:eastAsia="仿宋_GB2312" w:cs="仿宋_GB2312"/>
          <w:sz w:val="32"/>
          <w:szCs w:val="32"/>
        </w:rPr>
        <w:t>：2026年   月   日</w:t>
      </w:r>
    </w:p>
    <w:p w14:paraId="41DE65A8">
      <w:pPr>
        <w:rPr>
          <w:rFonts w:hint="eastAsia" w:ascii="宋体" w:hAnsi="宋体"/>
          <w:sz w:val="36"/>
          <w:szCs w:val="36"/>
        </w:rPr>
      </w:pPr>
      <w:r>
        <w:br w:type="page"/>
      </w:r>
      <w:bookmarkStart w:id="26" w:name="_Toc81784930"/>
    </w:p>
    <w:bookmarkEnd w:id="22"/>
    <w:bookmarkEnd w:id="26"/>
    <w:p w14:paraId="0BEEAF2F">
      <w:pPr>
        <w:pStyle w:val="2"/>
        <w:wordWrap w:val="0"/>
        <w:overflowPunct w:val="0"/>
        <w:spacing w:before="312" w:beforeLines="100" w:after="312" w:afterLines="100" w:line="560" w:lineRule="exact"/>
        <w:jc w:val="center"/>
        <w:rPr>
          <w:rFonts w:hint="eastAsia" w:ascii="黑体" w:hAnsi="黑体" w:eastAsia="黑体" w:cs="黑体"/>
          <w:b w:val="0"/>
          <w:bCs w:val="0"/>
        </w:rPr>
      </w:pPr>
      <w:bookmarkStart w:id="27" w:name="_Toc23147"/>
      <w:r>
        <w:rPr>
          <w:rFonts w:hint="eastAsia" w:ascii="黑体" w:hAnsi="黑体" w:eastAsia="黑体" w:cs="黑体"/>
          <w:b w:val="0"/>
          <w:bCs w:val="0"/>
        </w:rPr>
        <mc:AlternateContent>
          <mc:Choice Requires="wps">
            <w:drawing>
              <wp:anchor distT="0" distB="0" distL="114300" distR="114300" simplePos="0" relativeHeight="251659264" behindDoc="0" locked="0" layoutInCell="1" allowOverlap="1">
                <wp:simplePos x="0" y="0"/>
                <wp:positionH relativeFrom="column">
                  <wp:posOffset>4241800</wp:posOffset>
                </wp:positionH>
                <wp:positionV relativeFrom="paragraph">
                  <wp:posOffset>175895</wp:posOffset>
                </wp:positionV>
                <wp:extent cx="1222375" cy="523875"/>
                <wp:effectExtent l="4445" t="4445" r="11430" b="5080"/>
                <wp:wrapNone/>
                <wp:docPr id="6" name="文本框 6"/>
                <wp:cNvGraphicFramePr/>
                <a:graphic xmlns:a="http://schemas.openxmlformats.org/drawingml/2006/main">
                  <a:graphicData uri="http://schemas.microsoft.com/office/word/2010/wordprocessingShape">
                    <wps:wsp>
                      <wps:cNvSpPr txBox="1"/>
                      <wps:spPr>
                        <a:xfrm>
                          <a:off x="5384800" y="1090295"/>
                          <a:ext cx="1222375" cy="5238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3C1B93E">
                            <w:pPr>
                              <w:jc w:val="distribute"/>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正本</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4pt;margin-top:13.85pt;height:41.25pt;width:96.25pt;z-index:251659264;mso-width-relative:page;mso-height-relative:page;" fillcolor="#FFFFFF [3201]" filled="t" stroked="t" coordsize="21600,21600" o:gfxdata="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0OyfjXAAAACgEAAA8AAAAAAAAAAQAgAAAAIgAAAGRycy9kb3ducmV2LnhtbFBLAQIUABQA&#10;AAAIAIdO4kBhygFNYwIAAMMEAAAOAAAAAAAAAAEAIAAAACYBAABkcnMvZTJvRG9jLnhtbFBLBQYA&#10;AAAABgAGAFkBAAD7BQAAAAA=&#10;">
                <v:fill on="t" focussize="0,0"/>
                <v:stroke weight="0.5pt" color="#000000 [3204]" joinstyle="round"/>
                <v:imagedata o:title=""/>
                <o:lock v:ext="edit" aspectratio="f"/>
                <v:textbox>
                  <w:txbxContent>
                    <w:p w14:paraId="73C1B93E">
                      <w:pPr>
                        <w:jc w:val="distribute"/>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正本</w:t>
                      </w:r>
                    </w:p>
                  </w:txbxContent>
                </v:textbox>
              </v:shape>
            </w:pict>
          </mc:Fallback>
        </mc:AlternateContent>
      </w:r>
      <w:r>
        <w:rPr>
          <w:rFonts w:hint="eastAsia" w:ascii="黑体" w:hAnsi="黑体" w:eastAsia="黑体" w:cs="黑体"/>
          <w:b w:val="0"/>
          <w:bCs w:val="0"/>
        </w:rPr>
        <w:t>第五章 参选文件格式</w:t>
      </w:r>
      <w:bookmarkEnd w:id="27"/>
    </w:p>
    <w:p w14:paraId="5EC346AF">
      <w:pPr>
        <w:rPr>
          <w:rFonts w:hint="eastAsia" w:ascii="仿宋_GB2312" w:hAnsi="仿宋_GB2312" w:eastAsia="仿宋_GB2312" w:cs="仿宋_GB2312"/>
          <w:sz w:val="32"/>
          <w:szCs w:val="32"/>
        </w:rPr>
      </w:pPr>
    </w:p>
    <w:p w14:paraId="047B92A7">
      <w:pPr>
        <w:jc w:val="center"/>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海南华琨实业开发有限公司</w:t>
      </w:r>
    </w:p>
    <w:p w14:paraId="13B5B370">
      <w:pPr>
        <w:jc w:val="center"/>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52"/>
        </w:rPr>
        <w:t>第二次公开比选常年法律顾问项目</w:t>
      </w:r>
    </w:p>
    <w:p w14:paraId="3CB18DF4">
      <w:pPr>
        <w:rPr>
          <w:rFonts w:hint="eastAsia" w:ascii="仿宋_GB2312" w:hAnsi="仿宋_GB2312" w:eastAsia="仿宋_GB2312" w:cs="仿宋_GB2312"/>
          <w:sz w:val="32"/>
          <w:szCs w:val="32"/>
        </w:rPr>
      </w:pPr>
    </w:p>
    <w:p w14:paraId="029FA150">
      <w:pPr>
        <w:jc w:val="center"/>
        <w:rPr>
          <w:rFonts w:hint="eastAsia" w:ascii="方正小标宋简体" w:hAnsi="方正小标宋简体" w:eastAsia="方正小标宋简体" w:cs="方正小标宋简体"/>
          <w:sz w:val="96"/>
          <w:szCs w:val="96"/>
        </w:rPr>
      </w:pPr>
      <w:r>
        <w:rPr>
          <w:rFonts w:hint="eastAsia" w:ascii="方正小标宋简体" w:hAnsi="方正小标宋简体" w:eastAsia="方正小标宋简体" w:cs="方正小标宋简体"/>
          <w:sz w:val="96"/>
          <w:szCs w:val="96"/>
        </w:rPr>
        <w:t>参</w:t>
      </w:r>
    </w:p>
    <w:p w14:paraId="40FC1B1B">
      <w:pPr>
        <w:jc w:val="center"/>
        <w:rPr>
          <w:rFonts w:hint="eastAsia" w:ascii="方正小标宋简体" w:hAnsi="方正小标宋简体" w:eastAsia="方正小标宋简体" w:cs="方正小标宋简体"/>
          <w:sz w:val="96"/>
          <w:szCs w:val="96"/>
        </w:rPr>
      </w:pPr>
      <w:r>
        <w:rPr>
          <w:rFonts w:hint="eastAsia" w:ascii="方正小标宋简体" w:hAnsi="方正小标宋简体" w:eastAsia="方正小标宋简体" w:cs="方正小标宋简体"/>
          <w:sz w:val="96"/>
          <w:szCs w:val="96"/>
        </w:rPr>
        <w:t>选</w:t>
      </w:r>
    </w:p>
    <w:p w14:paraId="22A8B8A0">
      <w:pPr>
        <w:jc w:val="center"/>
        <w:rPr>
          <w:rFonts w:hint="eastAsia" w:ascii="方正小标宋简体" w:hAnsi="方正小标宋简体" w:eastAsia="方正小标宋简体" w:cs="方正小标宋简体"/>
          <w:sz w:val="96"/>
          <w:szCs w:val="96"/>
        </w:rPr>
      </w:pPr>
      <w:r>
        <w:rPr>
          <w:rFonts w:hint="eastAsia" w:ascii="方正小标宋简体" w:hAnsi="方正小标宋简体" w:eastAsia="方正小标宋简体" w:cs="方正小标宋简体"/>
          <w:sz w:val="96"/>
          <w:szCs w:val="96"/>
        </w:rPr>
        <w:t>文</w:t>
      </w:r>
    </w:p>
    <w:p w14:paraId="3DBF8620">
      <w:pPr>
        <w:jc w:val="center"/>
        <w:rPr>
          <w:rFonts w:hint="eastAsia" w:ascii="方正小标宋简体" w:hAnsi="方正小标宋简体" w:eastAsia="方正小标宋简体" w:cs="方正小标宋简体"/>
          <w:sz w:val="96"/>
          <w:szCs w:val="96"/>
        </w:rPr>
      </w:pPr>
      <w:r>
        <w:rPr>
          <w:rFonts w:hint="eastAsia" w:ascii="方正小标宋简体" w:hAnsi="方正小标宋简体" w:eastAsia="方正小标宋简体" w:cs="方正小标宋简体"/>
          <w:sz w:val="96"/>
          <w:szCs w:val="96"/>
        </w:rPr>
        <w:t>件</w:t>
      </w:r>
    </w:p>
    <w:p w14:paraId="778955B5">
      <w:pPr>
        <w:rPr>
          <w:rFonts w:hint="eastAsia" w:ascii="仿宋_GB2312" w:hAnsi="仿宋_GB2312" w:eastAsia="仿宋_GB2312" w:cs="仿宋_GB2312"/>
          <w:sz w:val="32"/>
          <w:szCs w:val="32"/>
        </w:rPr>
      </w:pPr>
    </w:p>
    <w:p w14:paraId="6AAA0A05">
      <w:pPr>
        <w:ind w:firstLine="1280" w:firstLineChars="400"/>
        <w:rPr>
          <w:rFonts w:hint="eastAsia" w:ascii="楷体_GB2312" w:hAnsi="楷体_GB2312" w:eastAsia="楷体_GB2312" w:cs="楷体_GB2312"/>
          <w:sz w:val="32"/>
          <w:szCs w:val="32"/>
          <w:u w:val="single"/>
        </w:rPr>
      </w:pPr>
      <w:r>
        <w:rPr>
          <w:rFonts w:hint="eastAsia" w:ascii="楷体_GB2312" w:hAnsi="楷体_GB2312" w:eastAsia="楷体_GB2312" w:cs="楷体_GB2312"/>
          <w:sz w:val="32"/>
          <w:szCs w:val="32"/>
        </w:rPr>
        <w:t>参 选 人：</w:t>
      </w:r>
      <w:r>
        <w:rPr>
          <w:rFonts w:hint="eastAsia" w:ascii="楷体_GB2312" w:hAnsi="楷体_GB2312" w:eastAsia="楷体_GB2312" w:cs="楷体_GB2312"/>
          <w:sz w:val="32"/>
          <w:szCs w:val="32"/>
          <w:u w:val="single"/>
        </w:rPr>
        <w:t xml:space="preserve">                              </w:t>
      </w:r>
    </w:p>
    <w:p w14:paraId="184F5908">
      <w:pPr>
        <w:ind w:firstLine="1280" w:firstLineChars="4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xml:space="preserve">联系地址：                              </w:t>
      </w:r>
    </w:p>
    <w:p w14:paraId="37173B02">
      <w:pPr>
        <w:ind w:firstLine="1280" w:firstLineChars="4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xml:space="preserve">联系方式：                              </w:t>
      </w:r>
    </w:p>
    <w:p w14:paraId="113F90EC">
      <w:pPr>
        <w:ind w:firstLine="1280" w:firstLineChars="4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xml:space="preserve">参选日期：                              </w:t>
      </w:r>
    </w:p>
    <w:p w14:paraId="4EA7755E">
      <w:pPr>
        <w:ind w:firstLine="1285" w:firstLineChars="4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br w:type="page"/>
      </w:r>
    </w:p>
    <w:p w14:paraId="094E6381">
      <w:pPr>
        <w:wordWrap w:val="0"/>
        <w:overflowPunct w:val="0"/>
        <w:spacing w:line="560" w:lineRule="atLeast"/>
        <w:jc w:val="center"/>
        <w:rPr>
          <w:rFonts w:hint="eastAsia" w:ascii="仿宋_GB2312" w:hAnsi="仿宋_GB2312" w:eastAsia="仿宋_GB2312" w:cs="仿宋_GB2312"/>
          <w:b/>
          <w:bCs/>
          <w:sz w:val="32"/>
          <w:szCs w:val="32"/>
        </w:rPr>
      </w:pPr>
      <w:bookmarkStart w:id="28" w:name="_Toc29854"/>
      <w:bookmarkStart w:id="29" w:name="_Toc6107"/>
      <w:r>
        <w:rPr>
          <w:rFonts w:hint="eastAsia" w:ascii="仿宋_GB2312" w:hAnsi="仿宋_GB2312" w:eastAsia="仿宋_GB2312" w:cs="仿宋_GB2312"/>
          <w:b/>
          <w:bCs/>
          <w:sz w:val="32"/>
          <w:szCs w:val="32"/>
        </w:rPr>
        <w:t>一、律师事务所执业许可证（另附）</w:t>
      </w:r>
    </w:p>
    <w:p w14:paraId="1F4C02DD">
      <w:pPr>
        <w:wordWrap w:val="0"/>
        <w:overflowPunct w:val="0"/>
        <w:spacing w:line="560" w:lineRule="atLeast"/>
        <w:rPr>
          <w:rFonts w:hint="eastAsia" w:ascii="仿宋_GB2312" w:hAnsi="仿宋_GB2312" w:eastAsia="仿宋_GB2312" w:cs="仿宋_GB2312"/>
          <w:sz w:val="32"/>
          <w:szCs w:val="32"/>
        </w:rPr>
      </w:pPr>
    </w:p>
    <w:p w14:paraId="42169833">
      <w:pPr>
        <w:pStyle w:val="51"/>
        <w:wordWrap w:val="0"/>
        <w:overflowPunct w:val="0"/>
        <w:spacing w:line="560" w:lineRule="atLeast"/>
        <w:rPr>
          <w:rFonts w:hint="eastAsia" w:ascii="仿宋_GB2312" w:hAnsi="仿宋_GB2312" w:eastAsia="仿宋_GB2312" w:cs="仿宋_GB2312"/>
          <w:sz w:val="32"/>
          <w:szCs w:val="32"/>
          <w:lang w:eastAsia="zh-CN"/>
        </w:rPr>
      </w:pPr>
    </w:p>
    <w:p w14:paraId="77D9B40A">
      <w:pPr>
        <w:pStyle w:val="51"/>
        <w:wordWrap w:val="0"/>
        <w:overflowPunct w:val="0"/>
        <w:spacing w:line="560" w:lineRule="atLeast"/>
        <w:rPr>
          <w:rFonts w:hint="eastAsia" w:ascii="仿宋_GB2312" w:hAnsi="仿宋_GB2312" w:eastAsia="仿宋_GB2312" w:cs="仿宋_GB2312"/>
          <w:sz w:val="32"/>
          <w:szCs w:val="32"/>
          <w:lang w:eastAsia="zh-CN"/>
        </w:rPr>
      </w:pPr>
    </w:p>
    <w:p w14:paraId="75DCE9D4">
      <w:pPr>
        <w:pStyle w:val="51"/>
        <w:wordWrap w:val="0"/>
        <w:overflowPunct w:val="0"/>
        <w:spacing w:line="560" w:lineRule="atLeas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注：复印件须加盖单位公章</w:t>
      </w:r>
    </w:p>
    <w:p w14:paraId="37035025">
      <w:pPr>
        <w:wordWrap w:val="0"/>
        <w:overflowPunct w:val="0"/>
        <w:spacing w:line="560" w:lineRule="atLeas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br w:type="page"/>
      </w:r>
    </w:p>
    <w:p w14:paraId="15266519">
      <w:pPr>
        <w:wordWrap w:val="0"/>
        <w:overflowPunct w:val="0"/>
        <w:spacing w:line="560" w:lineRule="atLeast"/>
        <w:jc w:val="center"/>
        <w:rPr>
          <w:rFonts w:hint="eastAsia" w:ascii="仿宋_GB2312" w:hAnsi="仿宋_GB2312" w:eastAsia="仿宋_GB2312" w:cs="仿宋_GB2312"/>
          <w:b/>
          <w:bCs/>
          <w:sz w:val="32"/>
          <w:szCs w:val="32"/>
        </w:rPr>
      </w:pPr>
      <w:bookmarkStart w:id="30" w:name="_Toc81784931"/>
      <w:r>
        <w:rPr>
          <w:rFonts w:hint="eastAsia" w:ascii="仿宋_GB2312" w:hAnsi="仿宋_GB2312" w:eastAsia="仿宋_GB2312" w:cs="仿宋_GB2312"/>
          <w:b/>
          <w:bCs/>
          <w:sz w:val="32"/>
          <w:szCs w:val="32"/>
        </w:rPr>
        <w:t>二、法定代表人（负责人）身份证明</w:t>
      </w:r>
      <w:bookmarkEnd w:id="28"/>
      <w:bookmarkEnd w:id="30"/>
    </w:p>
    <w:p w14:paraId="7D0138C2">
      <w:pPr>
        <w:wordWrap w:val="0"/>
        <w:overflowPunct w:val="0"/>
        <w:spacing w:line="560" w:lineRule="atLeast"/>
        <w:rPr>
          <w:rFonts w:hint="eastAsia" w:ascii="仿宋_GB2312" w:hAnsi="仿宋_GB2312" w:eastAsia="仿宋_GB2312" w:cs="仿宋_GB2312"/>
          <w:sz w:val="32"/>
          <w:szCs w:val="32"/>
        </w:rPr>
      </w:pPr>
    </w:p>
    <w:p w14:paraId="32EB7206">
      <w:pPr>
        <w:wordWrap w:val="0"/>
        <w:overflowPunct w:val="0"/>
        <w:spacing w:line="560" w:lineRule="atLeast"/>
        <w:rPr>
          <w:rFonts w:hint="eastAsia" w:ascii="仿宋_GB2312" w:hAnsi="仿宋_GB2312" w:eastAsia="仿宋_GB2312" w:cs="仿宋_GB2312"/>
          <w:sz w:val="32"/>
          <w:szCs w:val="32"/>
        </w:rPr>
      </w:pPr>
    </w:p>
    <w:p w14:paraId="0D821A4A">
      <w:pPr>
        <w:wordWrap w:val="0"/>
        <w:overflowPunct w:val="0"/>
        <w:spacing w:line="560"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同志，在我单位担任</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职务，是我单位的法定代表人（负责人），特此证明。</w:t>
      </w:r>
    </w:p>
    <w:p w14:paraId="53372EA5">
      <w:pPr>
        <w:wordWrap w:val="0"/>
        <w:overflowPunct w:val="0"/>
        <w:spacing w:line="560" w:lineRule="atLeast"/>
        <w:rPr>
          <w:rFonts w:hint="eastAsia" w:ascii="仿宋_GB2312" w:hAnsi="仿宋_GB2312" w:eastAsia="仿宋_GB2312" w:cs="仿宋_GB2312"/>
          <w:sz w:val="32"/>
          <w:szCs w:val="32"/>
        </w:rPr>
      </w:pPr>
    </w:p>
    <w:p w14:paraId="07055EC4">
      <w:pPr>
        <w:wordWrap w:val="0"/>
        <w:overflowPunct w:val="0"/>
        <w:spacing w:line="560" w:lineRule="atLeast"/>
        <w:rPr>
          <w:rFonts w:hint="eastAsia" w:ascii="仿宋_GB2312" w:hAnsi="仿宋_GB2312" w:eastAsia="仿宋_GB2312" w:cs="仿宋_GB2312"/>
          <w:sz w:val="32"/>
          <w:szCs w:val="32"/>
        </w:rPr>
      </w:pPr>
    </w:p>
    <w:p w14:paraId="74112B1D">
      <w:pPr>
        <w:wordWrap w:val="0"/>
        <w:overflowPunct w:val="0"/>
        <w:spacing w:line="560" w:lineRule="atLeast"/>
        <w:rPr>
          <w:rFonts w:hint="eastAsia" w:ascii="仿宋_GB2312" w:hAnsi="仿宋_GB2312" w:eastAsia="仿宋_GB2312" w:cs="仿宋_GB2312"/>
          <w:sz w:val="32"/>
          <w:szCs w:val="32"/>
        </w:rPr>
      </w:pPr>
    </w:p>
    <w:p w14:paraId="51AFF44A">
      <w:pPr>
        <w:wordWrap w:val="0"/>
        <w:overflowPunct w:val="0"/>
        <w:spacing w:line="560" w:lineRule="atLeas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参选人：（公章）             </w:t>
      </w:r>
    </w:p>
    <w:p w14:paraId="663BA55B">
      <w:pPr>
        <w:wordWrap w:val="0"/>
        <w:overflowPunct w:val="0"/>
        <w:spacing w:line="560" w:lineRule="atLeas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w:t>
      </w:r>
    </w:p>
    <w:p w14:paraId="1943722C">
      <w:pPr>
        <w:wordWrap w:val="0"/>
        <w:overflowPunct w:val="0"/>
        <w:spacing w:line="560" w:lineRule="atLeast"/>
        <w:rPr>
          <w:rFonts w:hint="eastAsia" w:ascii="仿宋_GB2312" w:hAnsi="仿宋_GB2312" w:eastAsia="仿宋_GB2312" w:cs="仿宋_GB2312"/>
          <w:sz w:val="32"/>
          <w:szCs w:val="32"/>
        </w:rPr>
      </w:pPr>
    </w:p>
    <w:p w14:paraId="4B7FBADB">
      <w:pPr>
        <w:wordWrap w:val="0"/>
        <w:overflowPunct w:val="0"/>
        <w:spacing w:line="560"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附：法定代表人（负责人）身份证复印件</w:t>
      </w:r>
    </w:p>
    <w:p w14:paraId="7E303839">
      <w:pPr>
        <w:wordWrap w:val="0"/>
        <w:overflowPunct w:val="0"/>
        <w:spacing w:line="560"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联系地址：</w:t>
      </w:r>
    </w:p>
    <w:p w14:paraId="1AE9ECA7">
      <w:pPr>
        <w:wordWrap w:val="0"/>
        <w:overflowPunct w:val="0"/>
        <w:spacing w:line="560"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w:t>
      </w:r>
    </w:p>
    <w:p w14:paraId="1B288595">
      <w:pPr>
        <w:wordWrap w:val="0"/>
        <w:overflowPunct w:val="0"/>
        <w:spacing w:line="560" w:lineRule="atLeast"/>
        <w:rPr>
          <w:rFonts w:hint="eastAsia" w:ascii="仿宋_GB2312" w:hAnsi="仿宋_GB2312" w:eastAsia="仿宋_GB2312" w:cs="仿宋_GB2312"/>
          <w:sz w:val="32"/>
          <w:szCs w:val="32"/>
        </w:rPr>
      </w:pPr>
    </w:p>
    <w:p w14:paraId="7C996078">
      <w:pPr>
        <w:wordWrap w:val="0"/>
        <w:overflowPunct w:val="0"/>
        <w:spacing w:line="560"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注：1.法定代表人（负责人）身份证复印件须加盖单位公章。</w:t>
      </w:r>
    </w:p>
    <w:p w14:paraId="2316D667">
      <w:pPr>
        <w:wordWrap w:val="0"/>
        <w:overflowPunct w:val="0"/>
        <w:spacing w:line="560"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2.法定代表人（负责人）亲自参与比选活动不适用。</w:t>
      </w:r>
    </w:p>
    <w:p w14:paraId="3E2BFC2B">
      <w:pPr>
        <w:wordWrap w:val="0"/>
        <w:overflowPunct w:val="0"/>
        <w:spacing w:line="560" w:lineRule="atLeas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br w:type="page"/>
      </w:r>
      <w:bookmarkStart w:id="31" w:name="_Toc81784932"/>
    </w:p>
    <w:p w14:paraId="3875D3CA">
      <w:pPr>
        <w:wordWrap w:val="0"/>
        <w:overflowPunct w:val="0"/>
        <w:spacing w:line="560" w:lineRule="atLeast"/>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三、授权委托书</w:t>
      </w:r>
      <w:bookmarkEnd w:id="29"/>
      <w:bookmarkEnd w:id="31"/>
    </w:p>
    <w:p w14:paraId="1B4AC1E1">
      <w:pPr>
        <w:wordWrap w:val="0"/>
        <w:overflowPunct w:val="0"/>
        <w:spacing w:line="560" w:lineRule="atLeast"/>
        <w:ind w:firstLine="640" w:firstLineChars="200"/>
        <w:rPr>
          <w:rFonts w:hint="eastAsia" w:ascii="仿宋_GB2312" w:hAnsi="仿宋_GB2312" w:eastAsia="仿宋_GB2312" w:cs="仿宋_GB2312"/>
          <w:sz w:val="32"/>
          <w:szCs w:val="32"/>
        </w:rPr>
      </w:pPr>
    </w:p>
    <w:p w14:paraId="1DFC91E2">
      <w:pPr>
        <w:wordWrap w:val="0"/>
        <w:overflowPunct w:val="0"/>
        <w:spacing w:line="560"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委托人：           律师事务所</w:t>
      </w:r>
    </w:p>
    <w:p w14:paraId="7D7546F7">
      <w:pPr>
        <w:wordWrap w:val="0"/>
        <w:overflowPunct w:val="0"/>
        <w:spacing w:line="560"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法定代表人（负责人）：</w:t>
      </w:r>
    </w:p>
    <w:p w14:paraId="173076F5">
      <w:pPr>
        <w:wordWrap w:val="0"/>
        <w:overflowPunct w:val="0"/>
        <w:spacing w:line="560"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受托人：        ，男/女，   族，19XX年XX月XX日出生，公民身份号码：            地址：            。</w:t>
      </w:r>
    </w:p>
    <w:p w14:paraId="395046FB">
      <w:pPr>
        <w:wordWrap w:val="0"/>
        <w:overflowPunct w:val="0"/>
        <w:spacing w:line="560" w:lineRule="atLeast"/>
        <w:ind w:firstLine="614" w:firstLineChars="19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现授权委托</w:t>
      </w:r>
      <w:r>
        <w:rPr>
          <w:rFonts w:hint="eastAsia" w:ascii="仿宋_GB2312" w:hAnsi="仿宋_GB2312" w:eastAsia="仿宋_GB2312" w:cs="仿宋_GB2312"/>
          <w:sz w:val="32"/>
          <w:szCs w:val="32"/>
          <w:u w:val="single"/>
        </w:rPr>
        <w:t xml:space="preserve">      （受托人姓名）</w:t>
      </w:r>
      <w:r>
        <w:rPr>
          <w:rFonts w:hint="eastAsia" w:ascii="仿宋_GB2312" w:hAnsi="仿宋_GB2312" w:eastAsia="仿宋_GB2312" w:cs="仿宋_GB2312"/>
          <w:sz w:val="32"/>
          <w:szCs w:val="32"/>
        </w:rPr>
        <w:t>为本单位唯一代理人，以本单位的名义参加</w:t>
      </w:r>
      <w:r>
        <w:rPr>
          <w:rFonts w:hint="eastAsia" w:ascii="仿宋_GB2312" w:hAnsi="仿宋_GB2312" w:eastAsia="仿宋_GB2312" w:cs="仿宋_GB2312"/>
          <w:sz w:val="32"/>
          <w:szCs w:val="32"/>
          <w:u w:val="single"/>
        </w:rPr>
        <w:t>海南华琨实业开发有限公司公开比选常年法律顾问项目</w:t>
      </w:r>
      <w:r>
        <w:rPr>
          <w:rFonts w:hint="eastAsia" w:ascii="仿宋_GB2312" w:hAnsi="仿宋_GB2312" w:eastAsia="仿宋_GB2312" w:cs="仿宋_GB2312"/>
          <w:sz w:val="32"/>
          <w:szCs w:val="32"/>
        </w:rPr>
        <w:t>参选活动。</w:t>
      </w:r>
    </w:p>
    <w:p w14:paraId="57BFEAF1">
      <w:pPr>
        <w:wordWrap w:val="0"/>
        <w:overflowPunct w:val="0"/>
        <w:spacing w:line="560" w:lineRule="atLeast"/>
        <w:ind w:firstLine="614" w:firstLineChars="19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受托人在参选活动中所签署的一切文件和处理与之有关的一切事务，委托人均予以承认并全部承担其产生的所有权利和义务。</w:t>
      </w:r>
    </w:p>
    <w:p w14:paraId="78A4FEA2">
      <w:pPr>
        <w:wordWrap w:val="0"/>
        <w:overflowPunct w:val="0"/>
        <w:spacing w:line="560" w:lineRule="atLeast"/>
        <w:ind w:firstLine="614" w:firstLineChars="19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委托期限：自本委托书签发之日起至上述事项办完为止。</w:t>
      </w:r>
    </w:p>
    <w:p w14:paraId="6CC979F2">
      <w:pPr>
        <w:wordWrap w:val="0"/>
        <w:overflowPunct w:val="0"/>
        <w:spacing w:line="560" w:lineRule="atLeast"/>
        <w:ind w:firstLine="614" w:firstLineChars="19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受托人无权转委托权。</w:t>
      </w:r>
    </w:p>
    <w:p w14:paraId="085824BD">
      <w:pPr>
        <w:wordWrap w:val="0"/>
        <w:overflowPunct w:val="0"/>
        <w:spacing w:line="560"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特此委托。</w:t>
      </w:r>
    </w:p>
    <w:p w14:paraId="388628D3">
      <w:pPr>
        <w:pStyle w:val="8"/>
        <w:wordWrap w:val="0"/>
        <w:overflowPunct w:val="0"/>
        <w:spacing w:line="560" w:lineRule="atLeast"/>
        <w:ind w:firstLine="3520" w:firstLineChars="11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委 托 人：（盖章）            </w:t>
      </w:r>
    </w:p>
    <w:p w14:paraId="0DD8E90B">
      <w:pPr>
        <w:wordWrap w:val="0"/>
        <w:overflowPunct w:val="0"/>
        <w:spacing w:line="560" w:lineRule="atLeast"/>
        <w:ind w:firstLine="3520" w:firstLineChars="1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委托日期：                    </w:t>
      </w:r>
    </w:p>
    <w:p w14:paraId="5570FBEC">
      <w:pPr>
        <w:wordWrap w:val="0"/>
        <w:overflowPunct w:val="0"/>
        <w:spacing w:line="560" w:lineRule="atLeas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w:t>
      </w:r>
      <w:r>
        <w:rPr>
          <w:rFonts w:hint="eastAsia" w:ascii="仿宋_GB2312" w:hAnsi="仿宋_GB2312" w:eastAsia="仿宋_GB2312" w:cs="仿宋_GB2312"/>
          <w:bCs/>
          <w:sz w:val="32"/>
          <w:szCs w:val="32"/>
        </w:rPr>
        <w:t>受托人</w:t>
      </w:r>
      <w:r>
        <w:rPr>
          <w:rFonts w:hint="eastAsia" w:ascii="仿宋_GB2312" w:hAnsi="仿宋_GB2312" w:eastAsia="仿宋_GB2312" w:cs="仿宋_GB2312"/>
          <w:sz w:val="32"/>
          <w:szCs w:val="32"/>
        </w:rPr>
        <w:t>身份证复印件</w:t>
      </w:r>
    </w:p>
    <w:p w14:paraId="6A7D7E06">
      <w:pPr>
        <w:wordWrap w:val="0"/>
        <w:overflowPunct w:val="0"/>
        <w:spacing w:line="560"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联系地址：</w:t>
      </w:r>
    </w:p>
    <w:p w14:paraId="6B589E98">
      <w:pPr>
        <w:wordWrap w:val="0"/>
        <w:overflowPunct w:val="0"/>
        <w:spacing w:line="560" w:lineRule="atLeas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联系方式：</w:t>
      </w:r>
    </w:p>
    <w:p w14:paraId="41C91512">
      <w:pPr>
        <w:pStyle w:val="58"/>
        <w:widowControl w:val="0"/>
        <w:wordWrap w:val="0"/>
        <w:overflowPunct w:val="0"/>
        <w:spacing w:line="560" w:lineRule="atLeast"/>
        <w:jc w:val="both"/>
        <w:rPr>
          <w:rFonts w:hint="eastAsia" w:ascii="仿宋_GB2312" w:hAnsi="仿宋_GB2312" w:eastAsia="仿宋_GB2312" w:cs="仿宋_GB2312"/>
          <w:sz w:val="32"/>
          <w:szCs w:val="32"/>
        </w:rPr>
      </w:pPr>
      <w:r>
        <w:rPr>
          <w:rFonts w:hint="eastAsia" w:ascii="仿宋_GB2312" w:hAnsi="仿宋_GB2312" w:eastAsia="仿宋_GB2312" w:cs="仿宋_GB2312"/>
          <w:b w:val="0"/>
          <w:bCs/>
          <w:kern w:val="2"/>
          <w:sz w:val="32"/>
          <w:szCs w:val="32"/>
        </w:rPr>
        <w:t>注：1.受托人身份证复印件须加盖单位公章。</w:t>
      </w:r>
    </w:p>
    <w:p w14:paraId="5A3A2416">
      <w:pPr>
        <w:pStyle w:val="58"/>
        <w:widowControl w:val="0"/>
        <w:wordWrap w:val="0"/>
        <w:overflowPunct w:val="0"/>
        <w:spacing w:line="560" w:lineRule="atLeast"/>
        <w:ind w:firstLine="640" w:firstLineChars="200"/>
        <w:jc w:val="both"/>
        <w:rPr>
          <w:rFonts w:hint="eastAsia" w:ascii="仿宋_GB2312" w:hAnsi="仿宋_GB2312" w:eastAsia="仿宋_GB2312" w:cs="仿宋_GB2312"/>
          <w:b w:val="0"/>
          <w:bCs/>
          <w:kern w:val="2"/>
          <w:sz w:val="32"/>
          <w:szCs w:val="32"/>
        </w:rPr>
      </w:pPr>
      <w:r>
        <w:rPr>
          <w:rFonts w:hint="eastAsia" w:ascii="仿宋_GB2312" w:hAnsi="仿宋_GB2312" w:eastAsia="仿宋_GB2312" w:cs="仿宋_GB2312"/>
          <w:b w:val="0"/>
          <w:bCs/>
          <w:kern w:val="2"/>
          <w:sz w:val="32"/>
          <w:szCs w:val="32"/>
        </w:rPr>
        <w:t>2.法定代表人（负责人）亲自参与比选活动不适用。</w:t>
      </w:r>
    </w:p>
    <w:p w14:paraId="038743F3">
      <w:pPr>
        <w:wordWrap w:val="0"/>
        <w:overflowPunct w:val="0"/>
        <w:spacing w:line="560" w:lineRule="atLeas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br w:type="page"/>
      </w:r>
      <w:bookmarkStart w:id="32" w:name="_Toc17243"/>
    </w:p>
    <w:p w14:paraId="77468097">
      <w:pPr>
        <w:wordWrap w:val="0"/>
        <w:overflowPunct w:val="0"/>
        <w:spacing w:line="560" w:lineRule="atLeast"/>
        <w:jc w:val="center"/>
        <w:rPr>
          <w:rFonts w:hint="eastAsia" w:ascii="仿宋_GB2312" w:hAnsi="仿宋_GB2312" w:eastAsia="仿宋_GB2312" w:cs="仿宋_GB2312"/>
          <w:b/>
          <w:bCs/>
          <w:sz w:val="32"/>
          <w:szCs w:val="32"/>
        </w:rPr>
      </w:pPr>
      <w:bookmarkStart w:id="33" w:name="_Toc81784941"/>
      <w:r>
        <w:rPr>
          <w:rFonts w:hint="eastAsia" w:ascii="仿宋_GB2312" w:hAnsi="仿宋_GB2312" w:eastAsia="仿宋_GB2312" w:cs="仿宋_GB2312"/>
          <w:b/>
          <w:bCs/>
          <w:sz w:val="32"/>
          <w:szCs w:val="32"/>
        </w:rPr>
        <w:t>四、关于参选文件真实性声明函</w:t>
      </w:r>
      <w:bookmarkEnd w:id="33"/>
    </w:p>
    <w:p w14:paraId="66C00D59">
      <w:pPr>
        <w:wordWrap w:val="0"/>
        <w:overflowPunct w:val="0"/>
        <w:spacing w:line="560" w:lineRule="atLeast"/>
        <w:rPr>
          <w:rFonts w:hint="eastAsia" w:ascii="仿宋_GB2312" w:hAnsi="仿宋_GB2312" w:eastAsia="仿宋_GB2312" w:cs="仿宋_GB2312"/>
          <w:sz w:val="32"/>
          <w:szCs w:val="32"/>
        </w:rPr>
      </w:pPr>
    </w:p>
    <w:p w14:paraId="70CD1022">
      <w:pPr>
        <w:wordWrap w:val="0"/>
        <w:overflowPunct w:val="0"/>
        <w:adjustRightInd w:val="0"/>
        <w:spacing w:line="560" w:lineRule="atLeast"/>
        <w:ind w:firstLine="640" w:firstLineChars="200"/>
        <w:jc w:val="left"/>
        <w:textAlignment w:val="baseline"/>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本单位参与本次参选活动所提交的参选文件中所有证明文件和陈述均是真实、完整、准确的。若与真实情况不符，本单位愿意承担由此而产生的一切不利后果。</w:t>
      </w:r>
    </w:p>
    <w:bookmarkEnd w:id="32"/>
    <w:p w14:paraId="05F0CB69">
      <w:pPr>
        <w:wordWrap w:val="0"/>
        <w:overflowPunct w:val="0"/>
        <w:spacing w:line="560" w:lineRule="atLeast"/>
        <w:rPr>
          <w:rFonts w:hint="eastAsia" w:ascii="仿宋_GB2312" w:hAnsi="仿宋_GB2312" w:eastAsia="仿宋_GB2312" w:cs="仿宋_GB2312"/>
          <w:b/>
          <w:bCs/>
          <w:sz w:val="32"/>
          <w:szCs w:val="32"/>
        </w:rPr>
      </w:pPr>
    </w:p>
    <w:p w14:paraId="01B833B8">
      <w:pPr>
        <w:wordWrap w:val="0"/>
        <w:overflowPunct w:val="0"/>
        <w:spacing w:line="560" w:lineRule="atLeast"/>
        <w:rPr>
          <w:rFonts w:hint="eastAsia" w:ascii="仿宋_GB2312" w:hAnsi="仿宋_GB2312" w:eastAsia="仿宋_GB2312" w:cs="仿宋_GB2312"/>
          <w:b/>
          <w:bCs/>
          <w:sz w:val="32"/>
          <w:szCs w:val="32"/>
        </w:rPr>
      </w:pPr>
    </w:p>
    <w:p w14:paraId="12A4D2A4">
      <w:pPr>
        <w:wordWrap w:val="0"/>
        <w:overflowPunct w:val="0"/>
        <w:spacing w:line="560" w:lineRule="atLeast"/>
        <w:ind w:firstLine="4480" w:firstLineChars="14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参 选 人：（公章）</w:t>
      </w:r>
    </w:p>
    <w:p w14:paraId="5831AB48">
      <w:pPr>
        <w:wordWrap w:val="0"/>
        <w:overflowPunct w:val="0"/>
        <w:spacing w:line="560" w:lineRule="atLeast"/>
        <w:ind w:firstLine="4480" w:firstLineChars="14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声明日期：        </w:t>
      </w:r>
    </w:p>
    <w:p w14:paraId="0484C180">
      <w:pP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br w:type="page"/>
      </w:r>
    </w:p>
    <w:p w14:paraId="740004E4">
      <w:pPr>
        <w:wordWrap w:val="0"/>
        <w:overflowPunct w:val="0"/>
        <w:spacing w:line="560" w:lineRule="atLeast"/>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五、其他材料（另附）</w:t>
      </w:r>
    </w:p>
    <w:p w14:paraId="3FC8A447">
      <w:pPr>
        <w:wordWrap w:val="0"/>
        <w:overflowPunct w:val="0"/>
        <w:spacing w:line="560" w:lineRule="atLeas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（按照比选文件规定和要求自行准备相关资格审查、综合评审文件材料，制作相应的检索目录）</w:t>
      </w:r>
    </w:p>
    <w:sectPr>
      <w:headerReference r:id="rId8" w:type="default"/>
      <w:footerReference r:id="rId9"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1D337">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AB329">
    <w:pPr>
      <w:pStyle w:val="19"/>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8F83DD">
                          <w:pPr>
                            <w:pStyle w:val="1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558F83DD">
                    <w:pPr>
                      <w:pStyle w:val="1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F4BAB">
    <w:pPr>
      <w:pStyle w:val="19"/>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DFDCF9">
                          <w:pPr>
                            <w:pStyle w:val="1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2ADFDCF9">
                    <w:pPr>
                      <w:pStyle w:val="1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4DB15">
    <w:pPr>
      <w:pStyle w:val="20"/>
      <w:pBdr>
        <w:top w:val="none" w:color="auto" w:sz="0" w:space="1"/>
        <w:left w:val="none" w:color="auto" w:sz="0" w:space="4"/>
        <w:bottom w:val="none" w:color="auto" w:sz="0" w:space="1"/>
        <w:right w:val="none" w:color="auto" w:sz="0" w:space="4"/>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4A2A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F5E9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86B6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04C067"/>
    <w:multiLevelType w:val="singleLevel"/>
    <w:tmpl w:val="9604C067"/>
    <w:lvl w:ilvl="0" w:tentative="0">
      <w:start w:val="1"/>
      <w:numFmt w:val="decimal"/>
      <w:suff w:val="space"/>
      <w:lvlText w:val="%1."/>
      <w:lvlJc w:val="left"/>
      <w:pPr>
        <w:ind w:left="425" w:hanging="425"/>
      </w:pPr>
      <w:rPr>
        <w:rFonts w:hint="default"/>
      </w:rPr>
    </w:lvl>
  </w:abstractNum>
  <w:abstractNum w:abstractNumId="1">
    <w:nsid w:val="A72DB099"/>
    <w:multiLevelType w:val="singleLevel"/>
    <w:tmpl w:val="A72DB099"/>
    <w:lvl w:ilvl="0" w:tentative="0">
      <w:start w:val="3"/>
      <w:numFmt w:val="decimal"/>
      <w:suff w:val="space"/>
      <w:lvlText w:val="%1."/>
      <w:lvlJc w:val="left"/>
    </w:lvl>
  </w:abstractNum>
  <w:abstractNum w:abstractNumId="2">
    <w:nsid w:val="B37AFAA4"/>
    <w:multiLevelType w:val="singleLevel"/>
    <w:tmpl w:val="B37AFAA4"/>
    <w:lvl w:ilvl="0" w:tentative="0">
      <w:start w:val="2"/>
      <w:numFmt w:val="decimal"/>
      <w:suff w:val="space"/>
      <w:lvlText w:val="%1."/>
      <w:lvlJc w:val="left"/>
    </w:lvl>
  </w:abstractNum>
  <w:abstractNum w:abstractNumId="3">
    <w:nsid w:val="20C4B5CF"/>
    <w:multiLevelType w:val="singleLevel"/>
    <w:tmpl w:val="20C4B5CF"/>
    <w:lvl w:ilvl="0" w:tentative="0">
      <w:start w:val="1"/>
      <w:numFmt w:val="decimal"/>
      <w:suff w:val="space"/>
      <w:lvlText w:val="%1."/>
      <w:lvlJc w:val="left"/>
      <w:pPr>
        <w:ind w:left="1134" w:hanging="425"/>
      </w:pPr>
      <w:rPr>
        <w:rFonts w:hint="default"/>
      </w:rPr>
    </w:lvl>
  </w:abstractNum>
  <w:abstractNum w:abstractNumId="4">
    <w:nsid w:val="72A62A73"/>
    <w:multiLevelType w:val="multilevel"/>
    <w:tmpl w:val="72A62A73"/>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oNotShadeFormData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RiNjRjYzkzYWEzMGM5MDY1MGExYTliNGQwMDhmNzUifQ=="/>
    <w:docVar w:name="KSO_WPS_MARK_KEY" w:val="a9f9d857-5cd4-4cb4-bcf5-f56efcb3fcac"/>
  </w:docVars>
  <w:rsids>
    <w:rsidRoot w:val="00172A27"/>
    <w:rsid w:val="00000874"/>
    <w:rsid w:val="000049D3"/>
    <w:rsid w:val="00016FC9"/>
    <w:rsid w:val="00037F53"/>
    <w:rsid w:val="0004364F"/>
    <w:rsid w:val="00046784"/>
    <w:rsid w:val="00047A23"/>
    <w:rsid w:val="0005193B"/>
    <w:rsid w:val="000546B3"/>
    <w:rsid w:val="000605CA"/>
    <w:rsid w:val="00063C2F"/>
    <w:rsid w:val="00077BDC"/>
    <w:rsid w:val="000800BC"/>
    <w:rsid w:val="00084FB3"/>
    <w:rsid w:val="000853A6"/>
    <w:rsid w:val="0008633D"/>
    <w:rsid w:val="00087470"/>
    <w:rsid w:val="00092B5F"/>
    <w:rsid w:val="000950B5"/>
    <w:rsid w:val="000A4264"/>
    <w:rsid w:val="000A6638"/>
    <w:rsid w:val="000B6854"/>
    <w:rsid w:val="000C1171"/>
    <w:rsid w:val="000C1BC5"/>
    <w:rsid w:val="000C3315"/>
    <w:rsid w:val="000C6D61"/>
    <w:rsid w:val="000E372D"/>
    <w:rsid w:val="00102B6E"/>
    <w:rsid w:val="00127246"/>
    <w:rsid w:val="0013201D"/>
    <w:rsid w:val="00132254"/>
    <w:rsid w:val="00144BA5"/>
    <w:rsid w:val="00146CB9"/>
    <w:rsid w:val="001531F4"/>
    <w:rsid w:val="00165A8C"/>
    <w:rsid w:val="00172A27"/>
    <w:rsid w:val="001744CA"/>
    <w:rsid w:val="00181A58"/>
    <w:rsid w:val="00187270"/>
    <w:rsid w:val="00191B8F"/>
    <w:rsid w:val="001A3555"/>
    <w:rsid w:val="001A4F54"/>
    <w:rsid w:val="001B148E"/>
    <w:rsid w:val="001B28FB"/>
    <w:rsid w:val="001C0282"/>
    <w:rsid w:val="001D7674"/>
    <w:rsid w:val="001E7A0B"/>
    <w:rsid w:val="00206DC1"/>
    <w:rsid w:val="00220C8C"/>
    <w:rsid w:val="002226AC"/>
    <w:rsid w:val="00222946"/>
    <w:rsid w:val="00237B11"/>
    <w:rsid w:val="00256391"/>
    <w:rsid w:val="0028393E"/>
    <w:rsid w:val="002A1E4E"/>
    <w:rsid w:val="002A5851"/>
    <w:rsid w:val="002B16A6"/>
    <w:rsid w:val="002B19DD"/>
    <w:rsid w:val="002B2170"/>
    <w:rsid w:val="002B48CF"/>
    <w:rsid w:val="002C6602"/>
    <w:rsid w:val="002C72EF"/>
    <w:rsid w:val="002D269B"/>
    <w:rsid w:val="002D3DB1"/>
    <w:rsid w:val="002F214E"/>
    <w:rsid w:val="00301BD0"/>
    <w:rsid w:val="003031CC"/>
    <w:rsid w:val="0032075E"/>
    <w:rsid w:val="00322625"/>
    <w:rsid w:val="003448F6"/>
    <w:rsid w:val="00345C7D"/>
    <w:rsid w:val="00346052"/>
    <w:rsid w:val="00350E09"/>
    <w:rsid w:val="003532FE"/>
    <w:rsid w:val="00357AC7"/>
    <w:rsid w:val="00360E1E"/>
    <w:rsid w:val="00364380"/>
    <w:rsid w:val="00367151"/>
    <w:rsid w:val="00387B17"/>
    <w:rsid w:val="00396368"/>
    <w:rsid w:val="003B0727"/>
    <w:rsid w:val="003B2922"/>
    <w:rsid w:val="003B5818"/>
    <w:rsid w:val="003C0EFE"/>
    <w:rsid w:val="003C2ED0"/>
    <w:rsid w:val="003C3590"/>
    <w:rsid w:val="003C510B"/>
    <w:rsid w:val="003C76C4"/>
    <w:rsid w:val="003D16C0"/>
    <w:rsid w:val="003E1D6B"/>
    <w:rsid w:val="003F1955"/>
    <w:rsid w:val="00410FC3"/>
    <w:rsid w:val="0042139B"/>
    <w:rsid w:val="00432BA8"/>
    <w:rsid w:val="00457CBF"/>
    <w:rsid w:val="00461792"/>
    <w:rsid w:val="004663EF"/>
    <w:rsid w:val="00471516"/>
    <w:rsid w:val="00485313"/>
    <w:rsid w:val="004875D4"/>
    <w:rsid w:val="00492285"/>
    <w:rsid w:val="004A0E70"/>
    <w:rsid w:val="004A1198"/>
    <w:rsid w:val="004A4C7F"/>
    <w:rsid w:val="004A53FF"/>
    <w:rsid w:val="004A58B1"/>
    <w:rsid w:val="004B5E16"/>
    <w:rsid w:val="004C1705"/>
    <w:rsid w:val="004D14EF"/>
    <w:rsid w:val="004D21D6"/>
    <w:rsid w:val="004D34A7"/>
    <w:rsid w:val="00500F27"/>
    <w:rsid w:val="00501E34"/>
    <w:rsid w:val="00502C8B"/>
    <w:rsid w:val="00507817"/>
    <w:rsid w:val="00515B38"/>
    <w:rsid w:val="00532B62"/>
    <w:rsid w:val="00540C89"/>
    <w:rsid w:val="005442BC"/>
    <w:rsid w:val="00552F91"/>
    <w:rsid w:val="00555BA3"/>
    <w:rsid w:val="0055702D"/>
    <w:rsid w:val="005579E6"/>
    <w:rsid w:val="00561C96"/>
    <w:rsid w:val="00576D3D"/>
    <w:rsid w:val="00580EFD"/>
    <w:rsid w:val="005815FE"/>
    <w:rsid w:val="00583EC7"/>
    <w:rsid w:val="00585B57"/>
    <w:rsid w:val="00586B85"/>
    <w:rsid w:val="00591C14"/>
    <w:rsid w:val="00591C24"/>
    <w:rsid w:val="00592F40"/>
    <w:rsid w:val="005A7208"/>
    <w:rsid w:val="005A7AC9"/>
    <w:rsid w:val="005B109D"/>
    <w:rsid w:val="005B4995"/>
    <w:rsid w:val="005B6208"/>
    <w:rsid w:val="005D0572"/>
    <w:rsid w:val="005D4BF0"/>
    <w:rsid w:val="005D7C14"/>
    <w:rsid w:val="005E1755"/>
    <w:rsid w:val="005E5FAA"/>
    <w:rsid w:val="005E7250"/>
    <w:rsid w:val="005F5E9A"/>
    <w:rsid w:val="005F7A0C"/>
    <w:rsid w:val="00601F4D"/>
    <w:rsid w:val="00604ACA"/>
    <w:rsid w:val="0061026E"/>
    <w:rsid w:val="006122E8"/>
    <w:rsid w:val="00616818"/>
    <w:rsid w:val="006219B4"/>
    <w:rsid w:val="00625F32"/>
    <w:rsid w:val="00637E26"/>
    <w:rsid w:val="0064262E"/>
    <w:rsid w:val="006464C7"/>
    <w:rsid w:val="00646CC6"/>
    <w:rsid w:val="006535F2"/>
    <w:rsid w:val="00655F30"/>
    <w:rsid w:val="00661654"/>
    <w:rsid w:val="00662D7E"/>
    <w:rsid w:val="006665EE"/>
    <w:rsid w:val="0067337D"/>
    <w:rsid w:val="00690D9C"/>
    <w:rsid w:val="00691CBB"/>
    <w:rsid w:val="006953C3"/>
    <w:rsid w:val="0069599E"/>
    <w:rsid w:val="006A1CC8"/>
    <w:rsid w:val="006A30C5"/>
    <w:rsid w:val="006A7B51"/>
    <w:rsid w:val="006A7F9A"/>
    <w:rsid w:val="006B1475"/>
    <w:rsid w:val="006C0471"/>
    <w:rsid w:val="006C1BCE"/>
    <w:rsid w:val="006D6D9C"/>
    <w:rsid w:val="0070037C"/>
    <w:rsid w:val="00700F5C"/>
    <w:rsid w:val="00702B26"/>
    <w:rsid w:val="00712AE5"/>
    <w:rsid w:val="00720B67"/>
    <w:rsid w:val="00720BCA"/>
    <w:rsid w:val="00725F04"/>
    <w:rsid w:val="00735FD3"/>
    <w:rsid w:val="00741E40"/>
    <w:rsid w:val="00742E97"/>
    <w:rsid w:val="007548EE"/>
    <w:rsid w:val="00760A66"/>
    <w:rsid w:val="00762994"/>
    <w:rsid w:val="007630E6"/>
    <w:rsid w:val="007701BA"/>
    <w:rsid w:val="00774297"/>
    <w:rsid w:val="00782A06"/>
    <w:rsid w:val="00784684"/>
    <w:rsid w:val="00784B5E"/>
    <w:rsid w:val="00792F77"/>
    <w:rsid w:val="00796AD7"/>
    <w:rsid w:val="007A51B4"/>
    <w:rsid w:val="007A51E0"/>
    <w:rsid w:val="007A7D81"/>
    <w:rsid w:val="007B153B"/>
    <w:rsid w:val="007B32B0"/>
    <w:rsid w:val="007C328B"/>
    <w:rsid w:val="007C6BDC"/>
    <w:rsid w:val="007E15EC"/>
    <w:rsid w:val="007E3021"/>
    <w:rsid w:val="007E4898"/>
    <w:rsid w:val="007F230B"/>
    <w:rsid w:val="00800847"/>
    <w:rsid w:val="008008E9"/>
    <w:rsid w:val="0080179B"/>
    <w:rsid w:val="00807EFE"/>
    <w:rsid w:val="00814F51"/>
    <w:rsid w:val="00815CDF"/>
    <w:rsid w:val="00830242"/>
    <w:rsid w:val="00833EC0"/>
    <w:rsid w:val="008374CD"/>
    <w:rsid w:val="008401C0"/>
    <w:rsid w:val="00850A67"/>
    <w:rsid w:val="008519D2"/>
    <w:rsid w:val="00851B03"/>
    <w:rsid w:val="00855E0A"/>
    <w:rsid w:val="00856035"/>
    <w:rsid w:val="0086473D"/>
    <w:rsid w:val="00864A2A"/>
    <w:rsid w:val="00864C1F"/>
    <w:rsid w:val="008658D4"/>
    <w:rsid w:val="008664ED"/>
    <w:rsid w:val="00871C75"/>
    <w:rsid w:val="00897070"/>
    <w:rsid w:val="008A2241"/>
    <w:rsid w:val="008A4C56"/>
    <w:rsid w:val="008A6FEA"/>
    <w:rsid w:val="008B1B72"/>
    <w:rsid w:val="008B45FF"/>
    <w:rsid w:val="008B5614"/>
    <w:rsid w:val="008B6FDC"/>
    <w:rsid w:val="008C7D17"/>
    <w:rsid w:val="008E401B"/>
    <w:rsid w:val="008F0653"/>
    <w:rsid w:val="0090653F"/>
    <w:rsid w:val="00913E3F"/>
    <w:rsid w:val="00924B2A"/>
    <w:rsid w:val="00931CEB"/>
    <w:rsid w:val="00932C6B"/>
    <w:rsid w:val="009431B2"/>
    <w:rsid w:val="00943933"/>
    <w:rsid w:val="00963006"/>
    <w:rsid w:val="00965F10"/>
    <w:rsid w:val="00975D66"/>
    <w:rsid w:val="00992D7C"/>
    <w:rsid w:val="00994107"/>
    <w:rsid w:val="00995A98"/>
    <w:rsid w:val="009A1351"/>
    <w:rsid w:val="009A692E"/>
    <w:rsid w:val="009B009A"/>
    <w:rsid w:val="009B3FB9"/>
    <w:rsid w:val="009B66F6"/>
    <w:rsid w:val="009C12C6"/>
    <w:rsid w:val="009C2F30"/>
    <w:rsid w:val="009C3AC1"/>
    <w:rsid w:val="009C3F8B"/>
    <w:rsid w:val="009C6976"/>
    <w:rsid w:val="009D54E1"/>
    <w:rsid w:val="009F0301"/>
    <w:rsid w:val="00A0266D"/>
    <w:rsid w:val="00A07243"/>
    <w:rsid w:val="00A13545"/>
    <w:rsid w:val="00A23B85"/>
    <w:rsid w:val="00A350CD"/>
    <w:rsid w:val="00A36C8B"/>
    <w:rsid w:val="00A379B4"/>
    <w:rsid w:val="00A43FA2"/>
    <w:rsid w:val="00A4682D"/>
    <w:rsid w:val="00A564BE"/>
    <w:rsid w:val="00A62A44"/>
    <w:rsid w:val="00A7153B"/>
    <w:rsid w:val="00A81904"/>
    <w:rsid w:val="00A81D22"/>
    <w:rsid w:val="00A848C3"/>
    <w:rsid w:val="00A9063A"/>
    <w:rsid w:val="00A93FC2"/>
    <w:rsid w:val="00AA0B0F"/>
    <w:rsid w:val="00AB4A6E"/>
    <w:rsid w:val="00AB6C67"/>
    <w:rsid w:val="00AC2892"/>
    <w:rsid w:val="00AE4CEE"/>
    <w:rsid w:val="00AE4DDB"/>
    <w:rsid w:val="00AE6DD2"/>
    <w:rsid w:val="00AF518E"/>
    <w:rsid w:val="00B10E50"/>
    <w:rsid w:val="00B147E6"/>
    <w:rsid w:val="00B43049"/>
    <w:rsid w:val="00B44AC3"/>
    <w:rsid w:val="00B5364A"/>
    <w:rsid w:val="00B61E47"/>
    <w:rsid w:val="00B6394B"/>
    <w:rsid w:val="00B640AB"/>
    <w:rsid w:val="00B72FBC"/>
    <w:rsid w:val="00B84C5E"/>
    <w:rsid w:val="00B850F5"/>
    <w:rsid w:val="00B9052A"/>
    <w:rsid w:val="00B97F47"/>
    <w:rsid w:val="00BA662E"/>
    <w:rsid w:val="00BA6A57"/>
    <w:rsid w:val="00BA6F7B"/>
    <w:rsid w:val="00BB1100"/>
    <w:rsid w:val="00BC0985"/>
    <w:rsid w:val="00BC3762"/>
    <w:rsid w:val="00BD1EB8"/>
    <w:rsid w:val="00BF0E19"/>
    <w:rsid w:val="00BF1379"/>
    <w:rsid w:val="00BF232D"/>
    <w:rsid w:val="00BF3E34"/>
    <w:rsid w:val="00BF53EA"/>
    <w:rsid w:val="00C11144"/>
    <w:rsid w:val="00C1485E"/>
    <w:rsid w:val="00C201F0"/>
    <w:rsid w:val="00C318B4"/>
    <w:rsid w:val="00C3786A"/>
    <w:rsid w:val="00C40827"/>
    <w:rsid w:val="00C4225A"/>
    <w:rsid w:val="00C42CBB"/>
    <w:rsid w:val="00C530C9"/>
    <w:rsid w:val="00C620D5"/>
    <w:rsid w:val="00C70871"/>
    <w:rsid w:val="00C71333"/>
    <w:rsid w:val="00C77B49"/>
    <w:rsid w:val="00C834FB"/>
    <w:rsid w:val="00C967BD"/>
    <w:rsid w:val="00CA1292"/>
    <w:rsid w:val="00CA1300"/>
    <w:rsid w:val="00CA43E8"/>
    <w:rsid w:val="00CB17B5"/>
    <w:rsid w:val="00CB44C2"/>
    <w:rsid w:val="00CC2B99"/>
    <w:rsid w:val="00CE2C34"/>
    <w:rsid w:val="00CF538A"/>
    <w:rsid w:val="00CF6C75"/>
    <w:rsid w:val="00CF7755"/>
    <w:rsid w:val="00D01523"/>
    <w:rsid w:val="00D039E4"/>
    <w:rsid w:val="00D03D86"/>
    <w:rsid w:val="00D106C8"/>
    <w:rsid w:val="00D1160D"/>
    <w:rsid w:val="00D14BC9"/>
    <w:rsid w:val="00D25D6C"/>
    <w:rsid w:val="00D34173"/>
    <w:rsid w:val="00D41AE8"/>
    <w:rsid w:val="00D42B1D"/>
    <w:rsid w:val="00D4595F"/>
    <w:rsid w:val="00D55872"/>
    <w:rsid w:val="00D62443"/>
    <w:rsid w:val="00D7202E"/>
    <w:rsid w:val="00D76345"/>
    <w:rsid w:val="00D76E81"/>
    <w:rsid w:val="00D8006F"/>
    <w:rsid w:val="00D80A78"/>
    <w:rsid w:val="00D81EF2"/>
    <w:rsid w:val="00D877B8"/>
    <w:rsid w:val="00DA31BF"/>
    <w:rsid w:val="00DA6448"/>
    <w:rsid w:val="00DB2EDA"/>
    <w:rsid w:val="00DB58F6"/>
    <w:rsid w:val="00DB7EC4"/>
    <w:rsid w:val="00DC1492"/>
    <w:rsid w:val="00DD22D3"/>
    <w:rsid w:val="00DD58EE"/>
    <w:rsid w:val="00DD70FE"/>
    <w:rsid w:val="00DE0F10"/>
    <w:rsid w:val="00DE1C8F"/>
    <w:rsid w:val="00DF0EFD"/>
    <w:rsid w:val="00DF274A"/>
    <w:rsid w:val="00E07713"/>
    <w:rsid w:val="00E10914"/>
    <w:rsid w:val="00E12D3E"/>
    <w:rsid w:val="00E131F0"/>
    <w:rsid w:val="00E1352B"/>
    <w:rsid w:val="00E1462D"/>
    <w:rsid w:val="00E1475B"/>
    <w:rsid w:val="00E23D67"/>
    <w:rsid w:val="00E2742D"/>
    <w:rsid w:val="00E43A42"/>
    <w:rsid w:val="00E5034C"/>
    <w:rsid w:val="00E53D99"/>
    <w:rsid w:val="00E6718C"/>
    <w:rsid w:val="00E843F5"/>
    <w:rsid w:val="00E953B9"/>
    <w:rsid w:val="00E97C22"/>
    <w:rsid w:val="00EC219C"/>
    <w:rsid w:val="00EC29D8"/>
    <w:rsid w:val="00ED0BF5"/>
    <w:rsid w:val="00ED1E2A"/>
    <w:rsid w:val="00ED429D"/>
    <w:rsid w:val="00EE2EEA"/>
    <w:rsid w:val="00EE3D9B"/>
    <w:rsid w:val="00EE4149"/>
    <w:rsid w:val="00EE6CA0"/>
    <w:rsid w:val="00EE78CE"/>
    <w:rsid w:val="00EF4D63"/>
    <w:rsid w:val="00EF7D17"/>
    <w:rsid w:val="00F02D01"/>
    <w:rsid w:val="00F05B4E"/>
    <w:rsid w:val="00F108D2"/>
    <w:rsid w:val="00F13ED0"/>
    <w:rsid w:val="00F17A1E"/>
    <w:rsid w:val="00F36DB1"/>
    <w:rsid w:val="00F435F0"/>
    <w:rsid w:val="00F474CC"/>
    <w:rsid w:val="00F6093D"/>
    <w:rsid w:val="00F65713"/>
    <w:rsid w:val="00F667D5"/>
    <w:rsid w:val="00F6791F"/>
    <w:rsid w:val="00F73944"/>
    <w:rsid w:val="00F8090B"/>
    <w:rsid w:val="00F81924"/>
    <w:rsid w:val="00FA2C26"/>
    <w:rsid w:val="00FB1A13"/>
    <w:rsid w:val="00FB3C74"/>
    <w:rsid w:val="00FB4EC3"/>
    <w:rsid w:val="00FC195D"/>
    <w:rsid w:val="00FC22EA"/>
    <w:rsid w:val="00FC2358"/>
    <w:rsid w:val="00FD380F"/>
    <w:rsid w:val="00FD7C4C"/>
    <w:rsid w:val="00FD7E73"/>
    <w:rsid w:val="00FE35FB"/>
    <w:rsid w:val="00FE6C16"/>
    <w:rsid w:val="0147778C"/>
    <w:rsid w:val="014B63DA"/>
    <w:rsid w:val="01522A06"/>
    <w:rsid w:val="01577FD3"/>
    <w:rsid w:val="0171244A"/>
    <w:rsid w:val="017B0EFC"/>
    <w:rsid w:val="018934FB"/>
    <w:rsid w:val="018F1D3D"/>
    <w:rsid w:val="019A01D8"/>
    <w:rsid w:val="01B377B2"/>
    <w:rsid w:val="01BF37C7"/>
    <w:rsid w:val="01C67901"/>
    <w:rsid w:val="01E266D2"/>
    <w:rsid w:val="01E30D70"/>
    <w:rsid w:val="01E561D5"/>
    <w:rsid w:val="02062D92"/>
    <w:rsid w:val="02144A0D"/>
    <w:rsid w:val="023B6BC5"/>
    <w:rsid w:val="02453754"/>
    <w:rsid w:val="02557B17"/>
    <w:rsid w:val="025D604B"/>
    <w:rsid w:val="026305F6"/>
    <w:rsid w:val="026558D4"/>
    <w:rsid w:val="027110AD"/>
    <w:rsid w:val="027E16CE"/>
    <w:rsid w:val="02810A7C"/>
    <w:rsid w:val="02A209F3"/>
    <w:rsid w:val="02B218A4"/>
    <w:rsid w:val="02B336C9"/>
    <w:rsid w:val="02B60B1A"/>
    <w:rsid w:val="02D04596"/>
    <w:rsid w:val="02D5250B"/>
    <w:rsid w:val="02DA5D23"/>
    <w:rsid w:val="030E439F"/>
    <w:rsid w:val="03170DFC"/>
    <w:rsid w:val="031F4373"/>
    <w:rsid w:val="032A1453"/>
    <w:rsid w:val="032E6045"/>
    <w:rsid w:val="0330267E"/>
    <w:rsid w:val="03317123"/>
    <w:rsid w:val="0342095A"/>
    <w:rsid w:val="03433F84"/>
    <w:rsid w:val="034F1CC1"/>
    <w:rsid w:val="037167E7"/>
    <w:rsid w:val="037203C5"/>
    <w:rsid w:val="0379443F"/>
    <w:rsid w:val="03800D34"/>
    <w:rsid w:val="038B1487"/>
    <w:rsid w:val="03AB417D"/>
    <w:rsid w:val="03BF5108"/>
    <w:rsid w:val="03C03826"/>
    <w:rsid w:val="03D34E1A"/>
    <w:rsid w:val="03F05872"/>
    <w:rsid w:val="042A37F0"/>
    <w:rsid w:val="042E5C95"/>
    <w:rsid w:val="04430447"/>
    <w:rsid w:val="044D23F5"/>
    <w:rsid w:val="044D7086"/>
    <w:rsid w:val="049113A1"/>
    <w:rsid w:val="049502F0"/>
    <w:rsid w:val="049820AD"/>
    <w:rsid w:val="04A86794"/>
    <w:rsid w:val="04A92FBF"/>
    <w:rsid w:val="04F901EE"/>
    <w:rsid w:val="04FA5037"/>
    <w:rsid w:val="050677C6"/>
    <w:rsid w:val="050822C5"/>
    <w:rsid w:val="05094D59"/>
    <w:rsid w:val="051A51DF"/>
    <w:rsid w:val="05212F54"/>
    <w:rsid w:val="05504C67"/>
    <w:rsid w:val="05567E58"/>
    <w:rsid w:val="0567786F"/>
    <w:rsid w:val="056F2E0E"/>
    <w:rsid w:val="056F5716"/>
    <w:rsid w:val="05731C06"/>
    <w:rsid w:val="057F30E2"/>
    <w:rsid w:val="059B712F"/>
    <w:rsid w:val="05AE154D"/>
    <w:rsid w:val="05B2077F"/>
    <w:rsid w:val="05C02FE7"/>
    <w:rsid w:val="05DC421B"/>
    <w:rsid w:val="05FA539F"/>
    <w:rsid w:val="05FC5DAB"/>
    <w:rsid w:val="060043D3"/>
    <w:rsid w:val="06071402"/>
    <w:rsid w:val="0609125E"/>
    <w:rsid w:val="061B5A7A"/>
    <w:rsid w:val="061F001A"/>
    <w:rsid w:val="062C76ED"/>
    <w:rsid w:val="06407B57"/>
    <w:rsid w:val="06456265"/>
    <w:rsid w:val="064E627E"/>
    <w:rsid w:val="06621C09"/>
    <w:rsid w:val="066456F7"/>
    <w:rsid w:val="066B1801"/>
    <w:rsid w:val="068316CE"/>
    <w:rsid w:val="069D1752"/>
    <w:rsid w:val="06E1569F"/>
    <w:rsid w:val="06E64825"/>
    <w:rsid w:val="06E65352"/>
    <w:rsid w:val="06EF6229"/>
    <w:rsid w:val="071224BF"/>
    <w:rsid w:val="074E0CC4"/>
    <w:rsid w:val="074F739B"/>
    <w:rsid w:val="07533A0A"/>
    <w:rsid w:val="0757624F"/>
    <w:rsid w:val="076648B5"/>
    <w:rsid w:val="077213D5"/>
    <w:rsid w:val="077C551A"/>
    <w:rsid w:val="07941EF7"/>
    <w:rsid w:val="079E04F6"/>
    <w:rsid w:val="079E254F"/>
    <w:rsid w:val="07AD5E6F"/>
    <w:rsid w:val="07B627CE"/>
    <w:rsid w:val="07B62F76"/>
    <w:rsid w:val="07CD5180"/>
    <w:rsid w:val="07F716F9"/>
    <w:rsid w:val="07FE404B"/>
    <w:rsid w:val="08061F6D"/>
    <w:rsid w:val="080B7E0D"/>
    <w:rsid w:val="08285B98"/>
    <w:rsid w:val="08570A44"/>
    <w:rsid w:val="0860725C"/>
    <w:rsid w:val="087470D4"/>
    <w:rsid w:val="08907C6B"/>
    <w:rsid w:val="0892699A"/>
    <w:rsid w:val="089D7C92"/>
    <w:rsid w:val="08AC25CB"/>
    <w:rsid w:val="08B35558"/>
    <w:rsid w:val="08C03ABF"/>
    <w:rsid w:val="08D20622"/>
    <w:rsid w:val="08D51F99"/>
    <w:rsid w:val="08E33EE3"/>
    <w:rsid w:val="08E76DF3"/>
    <w:rsid w:val="08E77F9A"/>
    <w:rsid w:val="0907217D"/>
    <w:rsid w:val="09097F7F"/>
    <w:rsid w:val="093D74D6"/>
    <w:rsid w:val="093D7D29"/>
    <w:rsid w:val="0955209F"/>
    <w:rsid w:val="09562A81"/>
    <w:rsid w:val="09640205"/>
    <w:rsid w:val="0966277A"/>
    <w:rsid w:val="096A04BC"/>
    <w:rsid w:val="097963AA"/>
    <w:rsid w:val="09985A97"/>
    <w:rsid w:val="09A3752A"/>
    <w:rsid w:val="09A40D87"/>
    <w:rsid w:val="09BC3524"/>
    <w:rsid w:val="09D607F3"/>
    <w:rsid w:val="09E87633"/>
    <w:rsid w:val="09EB30CC"/>
    <w:rsid w:val="09F71624"/>
    <w:rsid w:val="0A011493"/>
    <w:rsid w:val="0A04030C"/>
    <w:rsid w:val="0A0A218D"/>
    <w:rsid w:val="0A195A3E"/>
    <w:rsid w:val="0A291D10"/>
    <w:rsid w:val="0A3960E0"/>
    <w:rsid w:val="0A4505E1"/>
    <w:rsid w:val="0A4800D1"/>
    <w:rsid w:val="0A4E4E55"/>
    <w:rsid w:val="0A851144"/>
    <w:rsid w:val="0A903623"/>
    <w:rsid w:val="0A924C41"/>
    <w:rsid w:val="0AA255E1"/>
    <w:rsid w:val="0AA947CA"/>
    <w:rsid w:val="0AB45767"/>
    <w:rsid w:val="0AD41965"/>
    <w:rsid w:val="0ADA59C5"/>
    <w:rsid w:val="0ADF4857"/>
    <w:rsid w:val="0B34518E"/>
    <w:rsid w:val="0B430CAA"/>
    <w:rsid w:val="0B784D07"/>
    <w:rsid w:val="0B7C7990"/>
    <w:rsid w:val="0B804877"/>
    <w:rsid w:val="0B88466D"/>
    <w:rsid w:val="0BAE4D7B"/>
    <w:rsid w:val="0BCE022F"/>
    <w:rsid w:val="0BD748B4"/>
    <w:rsid w:val="0BE1508B"/>
    <w:rsid w:val="0BE870ED"/>
    <w:rsid w:val="0BF35F2D"/>
    <w:rsid w:val="0C0B13B7"/>
    <w:rsid w:val="0C122745"/>
    <w:rsid w:val="0C136F68"/>
    <w:rsid w:val="0C152235"/>
    <w:rsid w:val="0C1D747E"/>
    <w:rsid w:val="0C693884"/>
    <w:rsid w:val="0C7A1229"/>
    <w:rsid w:val="0C9F5E74"/>
    <w:rsid w:val="0CB55175"/>
    <w:rsid w:val="0CC53C5B"/>
    <w:rsid w:val="0CF32FF4"/>
    <w:rsid w:val="0D015536"/>
    <w:rsid w:val="0D081E01"/>
    <w:rsid w:val="0D145E24"/>
    <w:rsid w:val="0D15511D"/>
    <w:rsid w:val="0D211A66"/>
    <w:rsid w:val="0D314E4D"/>
    <w:rsid w:val="0D53672A"/>
    <w:rsid w:val="0D666CF8"/>
    <w:rsid w:val="0DAD4F19"/>
    <w:rsid w:val="0DB77A48"/>
    <w:rsid w:val="0DBB6067"/>
    <w:rsid w:val="0DD36B7F"/>
    <w:rsid w:val="0DE545B5"/>
    <w:rsid w:val="0DE54690"/>
    <w:rsid w:val="0DE93610"/>
    <w:rsid w:val="0DE97897"/>
    <w:rsid w:val="0DF540CC"/>
    <w:rsid w:val="0DFC5153"/>
    <w:rsid w:val="0E002C66"/>
    <w:rsid w:val="0E04629A"/>
    <w:rsid w:val="0E0B1B42"/>
    <w:rsid w:val="0E181288"/>
    <w:rsid w:val="0E1D755D"/>
    <w:rsid w:val="0E2558DB"/>
    <w:rsid w:val="0E285A16"/>
    <w:rsid w:val="0E291E69"/>
    <w:rsid w:val="0E2D7D0A"/>
    <w:rsid w:val="0E37099D"/>
    <w:rsid w:val="0E392026"/>
    <w:rsid w:val="0E5057A7"/>
    <w:rsid w:val="0E5F743D"/>
    <w:rsid w:val="0E6E46FD"/>
    <w:rsid w:val="0E7057D3"/>
    <w:rsid w:val="0E9E344E"/>
    <w:rsid w:val="0EC01CAD"/>
    <w:rsid w:val="0ED52B47"/>
    <w:rsid w:val="0F031221"/>
    <w:rsid w:val="0F0F408A"/>
    <w:rsid w:val="0F31382A"/>
    <w:rsid w:val="0F3B3551"/>
    <w:rsid w:val="0F3C01F3"/>
    <w:rsid w:val="0F3C461F"/>
    <w:rsid w:val="0F425B7F"/>
    <w:rsid w:val="0F490007"/>
    <w:rsid w:val="0F4E527D"/>
    <w:rsid w:val="0F507886"/>
    <w:rsid w:val="0F7B1AD0"/>
    <w:rsid w:val="0F947E76"/>
    <w:rsid w:val="0F96368D"/>
    <w:rsid w:val="0F9863A8"/>
    <w:rsid w:val="0FBC5AAE"/>
    <w:rsid w:val="0FD22917"/>
    <w:rsid w:val="0FD32938"/>
    <w:rsid w:val="0FEC3623"/>
    <w:rsid w:val="10084600"/>
    <w:rsid w:val="10143BE6"/>
    <w:rsid w:val="102E2EDB"/>
    <w:rsid w:val="10511036"/>
    <w:rsid w:val="10582192"/>
    <w:rsid w:val="105F2E0B"/>
    <w:rsid w:val="10786CA5"/>
    <w:rsid w:val="10792ECD"/>
    <w:rsid w:val="107B5304"/>
    <w:rsid w:val="109978FA"/>
    <w:rsid w:val="10AD1D66"/>
    <w:rsid w:val="10B32711"/>
    <w:rsid w:val="10D0328F"/>
    <w:rsid w:val="10FF3EB3"/>
    <w:rsid w:val="11005262"/>
    <w:rsid w:val="110A4333"/>
    <w:rsid w:val="110F7B9B"/>
    <w:rsid w:val="111451B1"/>
    <w:rsid w:val="111F5990"/>
    <w:rsid w:val="113A0A1A"/>
    <w:rsid w:val="1167671A"/>
    <w:rsid w:val="11A472FC"/>
    <w:rsid w:val="11AA55A7"/>
    <w:rsid w:val="11B063B0"/>
    <w:rsid w:val="11C10E95"/>
    <w:rsid w:val="11D84431"/>
    <w:rsid w:val="12093457"/>
    <w:rsid w:val="120F1AA7"/>
    <w:rsid w:val="121743FD"/>
    <w:rsid w:val="121C07D7"/>
    <w:rsid w:val="121C3257"/>
    <w:rsid w:val="12265672"/>
    <w:rsid w:val="122F5385"/>
    <w:rsid w:val="12582E7C"/>
    <w:rsid w:val="125A4E46"/>
    <w:rsid w:val="1268375C"/>
    <w:rsid w:val="12A12966"/>
    <w:rsid w:val="12AA36D7"/>
    <w:rsid w:val="12B2782E"/>
    <w:rsid w:val="12B410CE"/>
    <w:rsid w:val="12B502CE"/>
    <w:rsid w:val="12C3394B"/>
    <w:rsid w:val="12C50511"/>
    <w:rsid w:val="12C86530"/>
    <w:rsid w:val="12CD3582"/>
    <w:rsid w:val="12E64659"/>
    <w:rsid w:val="12F7727B"/>
    <w:rsid w:val="130A7D02"/>
    <w:rsid w:val="1338143E"/>
    <w:rsid w:val="133A2B6A"/>
    <w:rsid w:val="133E2072"/>
    <w:rsid w:val="13443E2F"/>
    <w:rsid w:val="13594772"/>
    <w:rsid w:val="13935E9F"/>
    <w:rsid w:val="13AD66D1"/>
    <w:rsid w:val="13AF028F"/>
    <w:rsid w:val="13B007B4"/>
    <w:rsid w:val="13CA5BD9"/>
    <w:rsid w:val="13D80718"/>
    <w:rsid w:val="14031F8C"/>
    <w:rsid w:val="1404367A"/>
    <w:rsid w:val="140937EE"/>
    <w:rsid w:val="14096C37"/>
    <w:rsid w:val="14107C94"/>
    <w:rsid w:val="14554DDF"/>
    <w:rsid w:val="147E5046"/>
    <w:rsid w:val="149A3C1F"/>
    <w:rsid w:val="14B44CE1"/>
    <w:rsid w:val="14C50C9C"/>
    <w:rsid w:val="14E86739"/>
    <w:rsid w:val="14F055ED"/>
    <w:rsid w:val="15073AD9"/>
    <w:rsid w:val="15233C15"/>
    <w:rsid w:val="154124DE"/>
    <w:rsid w:val="15510C81"/>
    <w:rsid w:val="156C3FC0"/>
    <w:rsid w:val="156D5113"/>
    <w:rsid w:val="157E05B3"/>
    <w:rsid w:val="15853F88"/>
    <w:rsid w:val="159C5D09"/>
    <w:rsid w:val="15A54839"/>
    <w:rsid w:val="15AA1458"/>
    <w:rsid w:val="15AA1C40"/>
    <w:rsid w:val="15B260E2"/>
    <w:rsid w:val="15CA437E"/>
    <w:rsid w:val="15D07FFA"/>
    <w:rsid w:val="15D13C8F"/>
    <w:rsid w:val="16106380"/>
    <w:rsid w:val="1633028D"/>
    <w:rsid w:val="164E4CC1"/>
    <w:rsid w:val="164F5F6D"/>
    <w:rsid w:val="16514BA0"/>
    <w:rsid w:val="16552233"/>
    <w:rsid w:val="165A02A9"/>
    <w:rsid w:val="165E3157"/>
    <w:rsid w:val="166714E7"/>
    <w:rsid w:val="166E5566"/>
    <w:rsid w:val="166F7483"/>
    <w:rsid w:val="16702E8A"/>
    <w:rsid w:val="16956C0D"/>
    <w:rsid w:val="1696242A"/>
    <w:rsid w:val="169C77DB"/>
    <w:rsid w:val="16AA1541"/>
    <w:rsid w:val="16CA07EC"/>
    <w:rsid w:val="16EF2001"/>
    <w:rsid w:val="16F13FCB"/>
    <w:rsid w:val="170A0375"/>
    <w:rsid w:val="171657DF"/>
    <w:rsid w:val="17251405"/>
    <w:rsid w:val="17294DEE"/>
    <w:rsid w:val="172D48D7"/>
    <w:rsid w:val="1738222C"/>
    <w:rsid w:val="174A5489"/>
    <w:rsid w:val="17564279"/>
    <w:rsid w:val="175C6552"/>
    <w:rsid w:val="17AF1790"/>
    <w:rsid w:val="17B5540C"/>
    <w:rsid w:val="17BD41A1"/>
    <w:rsid w:val="17CF2948"/>
    <w:rsid w:val="17E248C6"/>
    <w:rsid w:val="17EC3F1E"/>
    <w:rsid w:val="18064BF2"/>
    <w:rsid w:val="18104D4C"/>
    <w:rsid w:val="181141F9"/>
    <w:rsid w:val="182C6135"/>
    <w:rsid w:val="18402BA2"/>
    <w:rsid w:val="18616F2E"/>
    <w:rsid w:val="18850944"/>
    <w:rsid w:val="188744BB"/>
    <w:rsid w:val="189C053F"/>
    <w:rsid w:val="18A065BF"/>
    <w:rsid w:val="18C4126B"/>
    <w:rsid w:val="18C50D81"/>
    <w:rsid w:val="18E31559"/>
    <w:rsid w:val="18E95A28"/>
    <w:rsid w:val="18F22558"/>
    <w:rsid w:val="18F92486"/>
    <w:rsid w:val="18FC7A32"/>
    <w:rsid w:val="18FF7EBE"/>
    <w:rsid w:val="19053C83"/>
    <w:rsid w:val="190F6CF4"/>
    <w:rsid w:val="19255199"/>
    <w:rsid w:val="192B12EA"/>
    <w:rsid w:val="194435D6"/>
    <w:rsid w:val="19474C51"/>
    <w:rsid w:val="19526BFE"/>
    <w:rsid w:val="19586E6E"/>
    <w:rsid w:val="198C4708"/>
    <w:rsid w:val="198D5A72"/>
    <w:rsid w:val="19960E59"/>
    <w:rsid w:val="199C06A0"/>
    <w:rsid w:val="199D3AA5"/>
    <w:rsid w:val="19BD4903"/>
    <w:rsid w:val="19C178F4"/>
    <w:rsid w:val="19F24B75"/>
    <w:rsid w:val="19F60439"/>
    <w:rsid w:val="19FE198E"/>
    <w:rsid w:val="1A0275A8"/>
    <w:rsid w:val="1A057D8D"/>
    <w:rsid w:val="1A18361C"/>
    <w:rsid w:val="1A225292"/>
    <w:rsid w:val="1A277F77"/>
    <w:rsid w:val="1A2F6BB8"/>
    <w:rsid w:val="1A367A00"/>
    <w:rsid w:val="1A450E5E"/>
    <w:rsid w:val="1A5F515F"/>
    <w:rsid w:val="1A7F369B"/>
    <w:rsid w:val="1A8C3383"/>
    <w:rsid w:val="1A8D5DC2"/>
    <w:rsid w:val="1ABD6B47"/>
    <w:rsid w:val="1AC83294"/>
    <w:rsid w:val="1ADF3CF7"/>
    <w:rsid w:val="1B1B64F7"/>
    <w:rsid w:val="1B1C713C"/>
    <w:rsid w:val="1B1E2EB4"/>
    <w:rsid w:val="1B2416C9"/>
    <w:rsid w:val="1B482848"/>
    <w:rsid w:val="1B5F4096"/>
    <w:rsid w:val="1B811695"/>
    <w:rsid w:val="1B8B44A0"/>
    <w:rsid w:val="1B964B8F"/>
    <w:rsid w:val="1B9D06DE"/>
    <w:rsid w:val="1BB569B9"/>
    <w:rsid w:val="1BE93D3D"/>
    <w:rsid w:val="1BF65BDF"/>
    <w:rsid w:val="1C0A51E7"/>
    <w:rsid w:val="1C2047DE"/>
    <w:rsid w:val="1C297D63"/>
    <w:rsid w:val="1C316C17"/>
    <w:rsid w:val="1C3D380E"/>
    <w:rsid w:val="1C566883"/>
    <w:rsid w:val="1C5B16DA"/>
    <w:rsid w:val="1C6D0F5F"/>
    <w:rsid w:val="1C810B1A"/>
    <w:rsid w:val="1CB3587E"/>
    <w:rsid w:val="1CDC7CC4"/>
    <w:rsid w:val="1CE04DCE"/>
    <w:rsid w:val="1CF61D03"/>
    <w:rsid w:val="1CF71F04"/>
    <w:rsid w:val="1CF91D37"/>
    <w:rsid w:val="1D025157"/>
    <w:rsid w:val="1D102CD1"/>
    <w:rsid w:val="1D197C59"/>
    <w:rsid w:val="1D1B04AB"/>
    <w:rsid w:val="1D1F1166"/>
    <w:rsid w:val="1D3F7112"/>
    <w:rsid w:val="1D4806BC"/>
    <w:rsid w:val="1D5F6564"/>
    <w:rsid w:val="1D6152DE"/>
    <w:rsid w:val="1D6F10BC"/>
    <w:rsid w:val="1D730816"/>
    <w:rsid w:val="1D76155D"/>
    <w:rsid w:val="1D936DC9"/>
    <w:rsid w:val="1D973739"/>
    <w:rsid w:val="1D9E1FE2"/>
    <w:rsid w:val="1DAA22DA"/>
    <w:rsid w:val="1DAA4ED3"/>
    <w:rsid w:val="1DB56AB6"/>
    <w:rsid w:val="1DC1221D"/>
    <w:rsid w:val="1DD1678F"/>
    <w:rsid w:val="1DED6B6E"/>
    <w:rsid w:val="1DF32C37"/>
    <w:rsid w:val="1DFE6FCD"/>
    <w:rsid w:val="1E036050"/>
    <w:rsid w:val="1E1A30A8"/>
    <w:rsid w:val="1E312EFF"/>
    <w:rsid w:val="1E340C41"/>
    <w:rsid w:val="1E572B2D"/>
    <w:rsid w:val="1E597F11"/>
    <w:rsid w:val="1E5B3A88"/>
    <w:rsid w:val="1E5D482F"/>
    <w:rsid w:val="1E66628E"/>
    <w:rsid w:val="1E6F3542"/>
    <w:rsid w:val="1E721A60"/>
    <w:rsid w:val="1E7643EA"/>
    <w:rsid w:val="1E803E86"/>
    <w:rsid w:val="1E871677"/>
    <w:rsid w:val="1E8E20FF"/>
    <w:rsid w:val="1E9B481C"/>
    <w:rsid w:val="1EAE4DF0"/>
    <w:rsid w:val="1EC65255"/>
    <w:rsid w:val="1ECA23EF"/>
    <w:rsid w:val="1EE948EE"/>
    <w:rsid w:val="1EEB5E1D"/>
    <w:rsid w:val="1EF6110A"/>
    <w:rsid w:val="1F0022DD"/>
    <w:rsid w:val="1F130856"/>
    <w:rsid w:val="1F1958F6"/>
    <w:rsid w:val="1F1F544D"/>
    <w:rsid w:val="1F26420F"/>
    <w:rsid w:val="1F2B33B9"/>
    <w:rsid w:val="1F33648D"/>
    <w:rsid w:val="1F3D447F"/>
    <w:rsid w:val="1F446945"/>
    <w:rsid w:val="1F4C72BD"/>
    <w:rsid w:val="1F561F9A"/>
    <w:rsid w:val="1F675BF7"/>
    <w:rsid w:val="1F686C78"/>
    <w:rsid w:val="1F842E11"/>
    <w:rsid w:val="1F8E0B46"/>
    <w:rsid w:val="1FA6791C"/>
    <w:rsid w:val="1FB11A32"/>
    <w:rsid w:val="1FC16A79"/>
    <w:rsid w:val="1FCD24C6"/>
    <w:rsid w:val="1FD53D5E"/>
    <w:rsid w:val="200C49C1"/>
    <w:rsid w:val="201C4107"/>
    <w:rsid w:val="203211B0"/>
    <w:rsid w:val="20367192"/>
    <w:rsid w:val="2037039E"/>
    <w:rsid w:val="204258B3"/>
    <w:rsid w:val="20444B8E"/>
    <w:rsid w:val="20482BC8"/>
    <w:rsid w:val="204A7105"/>
    <w:rsid w:val="20753775"/>
    <w:rsid w:val="20766701"/>
    <w:rsid w:val="207927B1"/>
    <w:rsid w:val="207B0647"/>
    <w:rsid w:val="209B4B21"/>
    <w:rsid w:val="209C340F"/>
    <w:rsid w:val="20C1729E"/>
    <w:rsid w:val="20CF253F"/>
    <w:rsid w:val="20D1603F"/>
    <w:rsid w:val="20D94575"/>
    <w:rsid w:val="20DB1848"/>
    <w:rsid w:val="20DB5C70"/>
    <w:rsid w:val="21065F6A"/>
    <w:rsid w:val="211A5ECC"/>
    <w:rsid w:val="211D473B"/>
    <w:rsid w:val="215374BB"/>
    <w:rsid w:val="21586A89"/>
    <w:rsid w:val="216466AF"/>
    <w:rsid w:val="216E50C1"/>
    <w:rsid w:val="21715920"/>
    <w:rsid w:val="21770C70"/>
    <w:rsid w:val="217A4BBD"/>
    <w:rsid w:val="218968DE"/>
    <w:rsid w:val="218B3233"/>
    <w:rsid w:val="218D48F0"/>
    <w:rsid w:val="218F374C"/>
    <w:rsid w:val="21993530"/>
    <w:rsid w:val="21A12DCA"/>
    <w:rsid w:val="21A84A82"/>
    <w:rsid w:val="21AA0B06"/>
    <w:rsid w:val="21ED3919"/>
    <w:rsid w:val="21EF1F4F"/>
    <w:rsid w:val="21F61BF0"/>
    <w:rsid w:val="2213305A"/>
    <w:rsid w:val="221B7D83"/>
    <w:rsid w:val="222029F4"/>
    <w:rsid w:val="22235757"/>
    <w:rsid w:val="222931C6"/>
    <w:rsid w:val="2230171F"/>
    <w:rsid w:val="223065D1"/>
    <w:rsid w:val="22327ACA"/>
    <w:rsid w:val="22396826"/>
    <w:rsid w:val="22561741"/>
    <w:rsid w:val="226F5062"/>
    <w:rsid w:val="22791318"/>
    <w:rsid w:val="227D2B6F"/>
    <w:rsid w:val="22805FDE"/>
    <w:rsid w:val="22853819"/>
    <w:rsid w:val="22896734"/>
    <w:rsid w:val="228F097B"/>
    <w:rsid w:val="228F68F6"/>
    <w:rsid w:val="2294552D"/>
    <w:rsid w:val="22A243CB"/>
    <w:rsid w:val="22A67D55"/>
    <w:rsid w:val="22AF6AE8"/>
    <w:rsid w:val="22B91142"/>
    <w:rsid w:val="22BA7CF9"/>
    <w:rsid w:val="22DF561F"/>
    <w:rsid w:val="22E20C6B"/>
    <w:rsid w:val="230208EF"/>
    <w:rsid w:val="230F6E22"/>
    <w:rsid w:val="23160915"/>
    <w:rsid w:val="231A0504"/>
    <w:rsid w:val="231F7052"/>
    <w:rsid w:val="23220009"/>
    <w:rsid w:val="232A5768"/>
    <w:rsid w:val="232B1BCF"/>
    <w:rsid w:val="232F19D7"/>
    <w:rsid w:val="234611FA"/>
    <w:rsid w:val="23554590"/>
    <w:rsid w:val="235810BE"/>
    <w:rsid w:val="235D4796"/>
    <w:rsid w:val="23652067"/>
    <w:rsid w:val="237573C6"/>
    <w:rsid w:val="23931DDC"/>
    <w:rsid w:val="23A221A9"/>
    <w:rsid w:val="23A9224E"/>
    <w:rsid w:val="23BD6FE3"/>
    <w:rsid w:val="23C626C9"/>
    <w:rsid w:val="23C94A94"/>
    <w:rsid w:val="23CF684B"/>
    <w:rsid w:val="23E04358"/>
    <w:rsid w:val="24015121"/>
    <w:rsid w:val="240E4847"/>
    <w:rsid w:val="244169BF"/>
    <w:rsid w:val="244F2331"/>
    <w:rsid w:val="24565B0F"/>
    <w:rsid w:val="24833BA4"/>
    <w:rsid w:val="24853F3C"/>
    <w:rsid w:val="249146F7"/>
    <w:rsid w:val="24A54761"/>
    <w:rsid w:val="24A563F4"/>
    <w:rsid w:val="24BB79C6"/>
    <w:rsid w:val="24BE3AF6"/>
    <w:rsid w:val="24C30D9C"/>
    <w:rsid w:val="24E72F8F"/>
    <w:rsid w:val="24F427D9"/>
    <w:rsid w:val="250516B5"/>
    <w:rsid w:val="25096983"/>
    <w:rsid w:val="25126F82"/>
    <w:rsid w:val="25231F29"/>
    <w:rsid w:val="25341526"/>
    <w:rsid w:val="254E613A"/>
    <w:rsid w:val="25537BFE"/>
    <w:rsid w:val="25562B4E"/>
    <w:rsid w:val="255B7E73"/>
    <w:rsid w:val="256C11AF"/>
    <w:rsid w:val="25752935"/>
    <w:rsid w:val="25867FD4"/>
    <w:rsid w:val="2588153F"/>
    <w:rsid w:val="259A582D"/>
    <w:rsid w:val="25A0151B"/>
    <w:rsid w:val="25A1676E"/>
    <w:rsid w:val="25AF73D3"/>
    <w:rsid w:val="25C579D5"/>
    <w:rsid w:val="25C96113"/>
    <w:rsid w:val="25D54AB7"/>
    <w:rsid w:val="25D66288"/>
    <w:rsid w:val="25DA0899"/>
    <w:rsid w:val="25E22D06"/>
    <w:rsid w:val="25E54879"/>
    <w:rsid w:val="260F37D8"/>
    <w:rsid w:val="26306A6D"/>
    <w:rsid w:val="263C0693"/>
    <w:rsid w:val="263D779F"/>
    <w:rsid w:val="26431A21"/>
    <w:rsid w:val="2652435A"/>
    <w:rsid w:val="26693728"/>
    <w:rsid w:val="266C237C"/>
    <w:rsid w:val="26914E82"/>
    <w:rsid w:val="26973D9F"/>
    <w:rsid w:val="26A06E73"/>
    <w:rsid w:val="26A43829"/>
    <w:rsid w:val="26AF355A"/>
    <w:rsid w:val="26B00670"/>
    <w:rsid w:val="26B446CD"/>
    <w:rsid w:val="26C54B2C"/>
    <w:rsid w:val="26CC7C68"/>
    <w:rsid w:val="26DB6FCE"/>
    <w:rsid w:val="270A0791"/>
    <w:rsid w:val="271C6FA1"/>
    <w:rsid w:val="271F32C8"/>
    <w:rsid w:val="272F6BDD"/>
    <w:rsid w:val="27315D1D"/>
    <w:rsid w:val="2749298F"/>
    <w:rsid w:val="276A3D72"/>
    <w:rsid w:val="276C18E1"/>
    <w:rsid w:val="27713228"/>
    <w:rsid w:val="277D3F43"/>
    <w:rsid w:val="27846795"/>
    <w:rsid w:val="278B508D"/>
    <w:rsid w:val="2792538E"/>
    <w:rsid w:val="27AC074C"/>
    <w:rsid w:val="27B32087"/>
    <w:rsid w:val="27B974F4"/>
    <w:rsid w:val="27C0642F"/>
    <w:rsid w:val="27FE6547"/>
    <w:rsid w:val="281D44F4"/>
    <w:rsid w:val="281D6E26"/>
    <w:rsid w:val="28394F1E"/>
    <w:rsid w:val="28680F94"/>
    <w:rsid w:val="287320EC"/>
    <w:rsid w:val="2895064C"/>
    <w:rsid w:val="289E73E3"/>
    <w:rsid w:val="28BF330C"/>
    <w:rsid w:val="28DD7E6F"/>
    <w:rsid w:val="290C7562"/>
    <w:rsid w:val="29146633"/>
    <w:rsid w:val="2915658F"/>
    <w:rsid w:val="29346BDE"/>
    <w:rsid w:val="294207D9"/>
    <w:rsid w:val="295F5AE3"/>
    <w:rsid w:val="29805ABC"/>
    <w:rsid w:val="29902FBA"/>
    <w:rsid w:val="299F6FCD"/>
    <w:rsid w:val="29BA45AB"/>
    <w:rsid w:val="29BD3BAD"/>
    <w:rsid w:val="29C4095E"/>
    <w:rsid w:val="29E65839"/>
    <w:rsid w:val="29EB1579"/>
    <w:rsid w:val="29F23E8A"/>
    <w:rsid w:val="29F714A0"/>
    <w:rsid w:val="29F953BB"/>
    <w:rsid w:val="2A0260D0"/>
    <w:rsid w:val="2A052D31"/>
    <w:rsid w:val="2A2563AF"/>
    <w:rsid w:val="2A3049B2"/>
    <w:rsid w:val="2A5C57A7"/>
    <w:rsid w:val="2A6C51CD"/>
    <w:rsid w:val="2A730AEB"/>
    <w:rsid w:val="2A9D78C9"/>
    <w:rsid w:val="2AB06D2C"/>
    <w:rsid w:val="2AB21149"/>
    <w:rsid w:val="2ABD048D"/>
    <w:rsid w:val="2AD03A9F"/>
    <w:rsid w:val="2AD77099"/>
    <w:rsid w:val="2AE33C36"/>
    <w:rsid w:val="2AFF488F"/>
    <w:rsid w:val="2B07172B"/>
    <w:rsid w:val="2B1A417C"/>
    <w:rsid w:val="2B1F3113"/>
    <w:rsid w:val="2B34402E"/>
    <w:rsid w:val="2B540D26"/>
    <w:rsid w:val="2B5474ED"/>
    <w:rsid w:val="2B594C74"/>
    <w:rsid w:val="2B7B1700"/>
    <w:rsid w:val="2B862FB3"/>
    <w:rsid w:val="2B8F74B6"/>
    <w:rsid w:val="2B99040C"/>
    <w:rsid w:val="2BC453B2"/>
    <w:rsid w:val="2BC76C50"/>
    <w:rsid w:val="2BD219D1"/>
    <w:rsid w:val="2BD527FA"/>
    <w:rsid w:val="2BDB4856"/>
    <w:rsid w:val="2BF52EFA"/>
    <w:rsid w:val="2C0864AD"/>
    <w:rsid w:val="2C0B2FE1"/>
    <w:rsid w:val="2C242F9C"/>
    <w:rsid w:val="2C255D3B"/>
    <w:rsid w:val="2C2F6A03"/>
    <w:rsid w:val="2C464019"/>
    <w:rsid w:val="2C4F698D"/>
    <w:rsid w:val="2C521E38"/>
    <w:rsid w:val="2C576226"/>
    <w:rsid w:val="2C78043D"/>
    <w:rsid w:val="2C8E3C12"/>
    <w:rsid w:val="2C9C43F8"/>
    <w:rsid w:val="2CA065BF"/>
    <w:rsid w:val="2CA60572"/>
    <w:rsid w:val="2CAE7E10"/>
    <w:rsid w:val="2CC71D2E"/>
    <w:rsid w:val="2CCF0FE4"/>
    <w:rsid w:val="2CD07D87"/>
    <w:rsid w:val="2CEB2E12"/>
    <w:rsid w:val="2CF02346"/>
    <w:rsid w:val="2CF14FED"/>
    <w:rsid w:val="2CF239FE"/>
    <w:rsid w:val="2CF51684"/>
    <w:rsid w:val="2CF6694B"/>
    <w:rsid w:val="2CF83EBA"/>
    <w:rsid w:val="2D1B54A6"/>
    <w:rsid w:val="2D1F2CB1"/>
    <w:rsid w:val="2D2C1C2B"/>
    <w:rsid w:val="2D35325E"/>
    <w:rsid w:val="2D6D2E90"/>
    <w:rsid w:val="2D7474C4"/>
    <w:rsid w:val="2D74754C"/>
    <w:rsid w:val="2D817915"/>
    <w:rsid w:val="2D856DC3"/>
    <w:rsid w:val="2D9C3685"/>
    <w:rsid w:val="2DA27333"/>
    <w:rsid w:val="2DF0599F"/>
    <w:rsid w:val="2DF301D1"/>
    <w:rsid w:val="2DF70F5C"/>
    <w:rsid w:val="2E112405"/>
    <w:rsid w:val="2E162111"/>
    <w:rsid w:val="2E1A3E5E"/>
    <w:rsid w:val="2E1A44FF"/>
    <w:rsid w:val="2E1F2B51"/>
    <w:rsid w:val="2E204D3E"/>
    <w:rsid w:val="2E241D76"/>
    <w:rsid w:val="2E3F1821"/>
    <w:rsid w:val="2E431EAE"/>
    <w:rsid w:val="2E5D5EBC"/>
    <w:rsid w:val="2E7043B3"/>
    <w:rsid w:val="2E7330BF"/>
    <w:rsid w:val="2E7B3D22"/>
    <w:rsid w:val="2E832F9F"/>
    <w:rsid w:val="2E8B2F20"/>
    <w:rsid w:val="2EA4771D"/>
    <w:rsid w:val="2EBE60E2"/>
    <w:rsid w:val="2ECE6996"/>
    <w:rsid w:val="2EDE785B"/>
    <w:rsid w:val="2EE813C1"/>
    <w:rsid w:val="2EF75A9F"/>
    <w:rsid w:val="2F212B1B"/>
    <w:rsid w:val="2F3960B7"/>
    <w:rsid w:val="2F3A47FE"/>
    <w:rsid w:val="2F3A598B"/>
    <w:rsid w:val="2F657BB4"/>
    <w:rsid w:val="2F6F3887"/>
    <w:rsid w:val="2F704636"/>
    <w:rsid w:val="2F7D2EF9"/>
    <w:rsid w:val="2F8B3036"/>
    <w:rsid w:val="2F8B4FC7"/>
    <w:rsid w:val="2F9629E8"/>
    <w:rsid w:val="2FB36AEE"/>
    <w:rsid w:val="2FC83EEB"/>
    <w:rsid w:val="2FE204FD"/>
    <w:rsid w:val="2FE73D65"/>
    <w:rsid w:val="2FEC52BE"/>
    <w:rsid w:val="3004501A"/>
    <w:rsid w:val="30170D66"/>
    <w:rsid w:val="30481B09"/>
    <w:rsid w:val="304C571B"/>
    <w:rsid w:val="304E247E"/>
    <w:rsid w:val="30522E6E"/>
    <w:rsid w:val="3062363E"/>
    <w:rsid w:val="30780277"/>
    <w:rsid w:val="30825A13"/>
    <w:rsid w:val="309317F7"/>
    <w:rsid w:val="30BB30B2"/>
    <w:rsid w:val="30BF33FB"/>
    <w:rsid w:val="30FA13C7"/>
    <w:rsid w:val="310E398D"/>
    <w:rsid w:val="3110685C"/>
    <w:rsid w:val="31124E12"/>
    <w:rsid w:val="313C49AD"/>
    <w:rsid w:val="313D45A5"/>
    <w:rsid w:val="31400522"/>
    <w:rsid w:val="3164169D"/>
    <w:rsid w:val="31766BF1"/>
    <w:rsid w:val="31851EC0"/>
    <w:rsid w:val="31A646A6"/>
    <w:rsid w:val="31AC0DC2"/>
    <w:rsid w:val="31C23E75"/>
    <w:rsid w:val="31C51E84"/>
    <w:rsid w:val="31D13313"/>
    <w:rsid w:val="31D17301"/>
    <w:rsid w:val="31D87321"/>
    <w:rsid w:val="31E247E4"/>
    <w:rsid w:val="31E26AFF"/>
    <w:rsid w:val="31F7113A"/>
    <w:rsid w:val="31F80FF9"/>
    <w:rsid w:val="31FA4196"/>
    <w:rsid w:val="321A6C4A"/>
    <w:rsid w:val="322931BC"/>
    <w:rsid w:val="323B2146"/>
    <w:rsid w:val="323D7C6C"/>
    <w:rsid w:val="32543208"/>
    <w:rsid w:val="32630039"/>
    <w:rsid w:val="327A7E28"/>
    <w:rsid w:val="327D62BB"/>
    <w:rsid w:val="328268CE"/>
    <w:rsid w:val="32A15506"/>
    <w:rsid w:val="32BF58EF"/>
    <w:rsid w:val="32C4213C"/>
    <w:rsid w:val="32C57C62"/>
    <w:rsid w:val="32F3227A"/>
    <w:rsid w:val="32F46515"/>
    <w:rsid w:val="32F50851"/>
    <w:rsid w:val="33015DD1"/>
    <w:rsid w:val="330C5891"/>
    <w:rsid w:val="331533D3"/>
    <w:rsid w:val="33492F6C"/>
    <w:rsid w:val="33712C64"/>
    <w:rsid w:val="337349D1"/>
    <w:rsid w:val="337F2933"/>
    <w:rsid w:val="33850F08"/>
    <w:rsid w:val="33E478B7"/>
    <w:rsid w:val="340F0069"/>
    <w:rsid w:val="341146CF"/>
    <w:rsid w:val="34190265"/>
    <w:rsid w:val="3434509F"/>
    <w:rsid w:val="34436CD2"/>
    <w:rsid w:val="345C032E"/>
    <w:rsid w:val="346911EC"/>
    <w:rsid w:val="34705DE8"/>
    <w:rsid w:val="347B1D3E"/>
    <w:rsid w:val="347B4A7C"/>
    <w:rsid w:val="34841305"/>
    <w:rsid w:val="348F62DA"/>
    <w:rsid w:val="349C63A1"/>
    <w:rsid w:val="34B670C2"/>
    <w:rsid w:val="34C208FD"/>
    <w:rsid w:val="34C667B8"/>
    <w:rsid w:val="34CF101E"/>
    <w:rsid w:val="34D429D9"/>
    <w:rsid w:val="34D9716A"/>
    <w:rsid w:val="34DF7637"/>
    <w:rsid w:val="34F71370"/>
    <w:rsid w:val="350E3B42"/>
    <w:rsid w:val="35101923"/>
    <w:rsid w:val="351531D7"/>
    <w:rsid w:val="351A699E"/>
    <w:rsid w:val="352C6166"/>
    <w:rsid w:val="353D7F83"/>
    <w:rsid w:val="355E45F4"/>
    <w:rsid w:val="3599165E"/>
    <w:rsid w:val="35991716"/>
    <w:rsid w:val="35994D2F"/>
    <w:rsid w:val="35A02E98"/>
    <w:rsid w:val="35A11A45"/>
    <w:rsid w:val="35A81A3A"/>
    <w:rsid w:val="35B302A1"/>
    <w:rsid w:val="35B50461"/>
    <w:rsid w:val="35BC6AE9"/>
    <w:rsid w:val="35C44201"/>
    <w:rsid w:val="35D22C0E"/>
    <w:rsid w:val="35D5759E"/>
    <w:rsid w:val="35DE4F7A"/>
    <w:rsid w:val="35E121E1"/>
    <w:rsid w:val="35E84E53"/>
    <w:rsid w:val="35EB0A29"/>
    <w:rsid w:val="35EB3E83"/>
    <w:rsid w:val="35EB5AE4"/>
    <w:rsid w:val="35EE2FC7"/>
    <w:rsid w:val="35F15CA4"/>
    <w:rsid w:val="36002775"/>
    <w:rsid w:val="3606745F"/>
    <w:rsid w:val="36193BCB"/>
    <w:rsid w:val="362548A0"/>
    <w:rsid w:val="3630158B"/>
    <w:rsid w:val="363324E6"/>
    <w:rsid w:val="365D631E"/>
    <w:rsid w:val="365F29E9"/>
    <w:rsid w:val="3660217B"/>
    <w:rsid w:val="368A544A"/>
    <w:rsid w:val="36942F07"/>
    <w:rsid w:val="3697713D"/>
    <w:rsid w:val="369B0357"/>
    <w:rsid w:val="369C3850"/>
    <w:rsid w:val="36A61D97"/>
    <w:rsid w:val="36BD65E1"/>
    <w:rsid w:val="36C01F2B"/>
    <w:rsid w:val="36C461C2"/>
    <w:rsid w:val="36DF09AA"/>
    <w:rsid w:val="370445FA"/>
    <w:rsid w:val="37150272"/>
    <w:rsid w:val="3719794B"/>
    <w:rsid w:val="37197D00"/>
    <w:rsid w:val="372118AF"/>
    <w:rsid w:val="373D5314"/>
    <w:rsid w:val="37643096"/>
    <w:rsid w:val="376550D6"/>
    <w:rsid w:val="376D5499"/>
    <w:rsid w:val="3772660A"/>
    <w:rsid w:val="3780494F"/>
    <w:rsid w:val="378105FB"/>
    <w:rsid w:val="37920A5A"/>
    <w:rsid w:val="37955F75"/>
    <w:rsid w:val="379662D1"/>
    <w:rsid w:val="379B08DA"/>
    <w:rsid w:val="37AB1AB6"/>
    <w:rsid w:val="37B71CC8"/>
    <w:rsid w:val="380139A1"/>
    <w:rsid w:val="38014A88"/>
    <w:rsid w:val="38090376"/>
    <w:rsid w:val="382C7134"/>
    <w:rsid w:val="382D1679"/>
    <w:rsid w:val="383E77DC"/>
    <w:rsid w:val="38451629"/>
    <w:rsid w:val="385B59D1"/>
    <w:rsid w:val="386341A5"/>
    <w:rsid w:val="38667E4C"/>
    <w:rsid w:val="3878766F"/>
    <w:rsid w:val="387F307C"/>
    <w:rsid w:val="38877E93"/>
    <w:rsid w:val="388A2BF1"/>
    <w:rsid w:val="38946D14"/>
    <w:rsid w:val="38A70528"/>
    <w:rsid w:val="38AA37D2"/>
    <w:rsid w:val="38B27842"/>
    <w:rsid w:val="38EB2951"/>
    <w:rsid w:val="38ED063D"/>
    <w:rsid w:val="39033292"/>
    <w:rsid w:val="39096AFA"/>
    <w:rsid w:val="39166C6D"/>
    <w:rsid w:val="3922196A"/>
    <w:rsid w:val="3949339B"/>
    <w:rsid w:val="3958436A"/>
    <w:rsid w:val="395C1320"/>
    <w:rsid w:val="397F523B"/>
    <w:rsid w:val="39845000"/>
    <w:rsid w:val="398475C2"/>
    <w:rsid w:val="398C14D9"/>
    <w:rsid w:val="398D7C40"/>
    <w:rsid w:val="39C4059B"/>
    <w:rsid w:val="39CA2E79"/>
    <w:rsid w:val="39CE7DFF"/>
    <w:rsid w:val="39E210F9"/>
    <w:rsid w:val="39F33306"/>
    <w:rsid w:val="39FE4185"/>
    <w:rsid w:val="3A0472C2"/>
    <w:rsid w:val="3A06303A"/>
    <w:rsid w:val="3A15327D"/>
    <w:rsid w:val="3A176FF5"/>
    <w:rsid w:val="3A4678DA"/>
    <w:rsid w:val="3A49117D"/>
    <w:rsid w:val="3A656089"/>
    <w:rsid w:val="3A6725ED"/>
    <w:rsid w:val="3A6C1B62"/>
    <w:rsid w:val="3A736CC9"/>
    <w:rsid w:val="3A925C8A"/>
    <w:rsid w:val="3A96379C"/>
    <w:rsid w:val="3A9E14C4"/>
    <w:rsid w:val="3AB40CE8"/>
    <w:rsid w:val="3AB63A4C"/>
    <w:rsid w:val="3AB8529B"/>
    <w:rsid w:val="3AC1338E"/>
    <w:rsid w:val="3ACA63C5"/>
    <w:rsid w:val="3ADB6F18"/>
    <w:rsid w:val="3AF15A98"/>
    <w:rsid w:val="3B231BA9"/>
    <w:rsid w:val="3B36794F"/>
    <w:rsid w:val="3B394FF5"/>
    <w:rsid w:val="3B4B164C"/>
    <w:rsid w:val="3B4D61F0"/>
    <w:rsid w:val="3B5624D2"/>
    <w:rsid w:val="3B620744"/>
    <w:rsid w:val="3B706C40"/>
    <w:rsid w:val="3B944967"/>
    <w:rsid w:val="3BAC5E63"/>
    <w:rsid w:val="3BB84807"/>
    <w:rsid w:val="3BBC42F8"/>
    <w:rsid w:val="3BCA7067"/>
    <w:rsid w:val="3BD0035C"/>
    <w:rsid w:val="3BDB59DD"/>
    <w:rsid w:val="3BEB0739"/>
    <w:rsid w:val="3C0E5FC0"/>
    <w:rsid w:val="3C157564"/>
    <w:rsid w:val="3C264C45"/>
    <w:rsid w:val="3C2A22E8"/>
    <w:rsid w:val="3C37199C"/>
    <w:rsid w:val="3C3D79E3"/>
    <w:rsid w:val="3C5B6508"/>
    <w:rsid w:val="3C7C71A8"/>
    <w:rsid w:val="3C954DBD"/>
    <w:rsid w:val="3C9C7C85"/>
    <w:rsid w:val="3CA8662A"/>
    <w:rsid w:val="3CAA4FEB"/>
    <w:rsid w:val="3CB274A9"/>
    <w:rsid w:val="3CC11D31"/>
    <w:rsid w:val="3CCD42E3"/>
    <w:rsid w:val="3CCF3BB7"/>
    <w:rsid w:val="3CD411CD"/>
    <w:rsid w:val="3CEA279F"/>
    <w:rsid w:val="3CFF0FB4"/>
    <w:rsid w:val="3D0B110C"/>
    <w:rsid w:val="3D1B2DE3"/>
    <w:rsid w:val="3D2A4B34"/>
    <w:rsid w:val="3D2D6B2F"/>
    <w:rsid w:val="3D8E7FC3"/>
    <w:rsid w:val="3D954E00"/>
    <w:rsid w:val="3D9573E6"/>
    <w:rsid w:val="3DA25DCF"/>
    <w:rsid w:val="3DAF5796"/>
    <w:rsid w:val="3DC33A8E"/>
    <w:rsid w:val="3DC806CC"/>
    <w:rsid w:val="3DCE20C0"/>
    <w:rsid w:val="3DD4228F"/>
    <w:rsid w:val="3DE55BB0"/>
    <w:rsid w:val="3DF61C4C"/>
    <w:rsid w:val="3E1E6AF6"/>
    <w:rsid w:val="3E3219D0"/>
    <w:rsid w:val="3E335341"/>
    <w:rsid w:val="3E344619"/>
    <w:rsid w:val="3E3A1504"/>
    <w:rsid w:val="3E3B049A"/>
    <w:rsid w:val="3E3C3834"/>
    <w:rsid w:val="3E407B0A"/>
    <w:rsid w:val="3E4800C5"/>
    <w:rsid w:val="3E4B1963"/>
    <w:rsid w:val="3E507D7E"/>
    <w:rsid w:val="3E662EBF"/>
    <w:rsid w:val="3E884CD8"/>
    <w:rsid w:val="3E8C2C22"/>
    <w:rsid w:val="3EA87CD5"/>
    <w:rsid w:val="3EAE617C"/>
    <w:rsid w:val="3EB42D59"/>
    <w:rsid w:val="3EBF159C"/>
    <w:rsid w:val="3EC30DA2"/>
    <w:rsid w:val="3ED71EA8"/>
    <w:rsid w:val="3EDA5125"/>
    <w:rsid w:val="3EE16C01"/>
    <w:rsid w:val="3EE85A4C"/>
    <w:rsid w:val="3EEE0756"/>
    <w:rsid w:val="3EFB5600"/>
    <w:rsid w:val="3F037C53"/>
    <w:rsid w:val="3F0F084A"/>
    <w:rsid w:val="3F0F5416"/>
    <w:rsid w:val="3F312907"/>
    <w:rsid w:val="3F356D5E"/>
    <w:rsid w:val="3F4D5A76"/>
    <w:rsid w:val="3F5B7984"/>
    <w:rsid w:val="3F780536"/>
    <w:rsid w:val="3F855F4F"/>
    <w:rsid w:val="3FA255B3"/>
    <w:rsid w:val="3FA93436"/>
    <w:rsid w:val="3FB452E6"/>
    <w:rsid w:val="3FB916EB"/>
    <w:rsid w:val="3FC6339A"/>
    <w:rsid w:val="3FC812FC"/>
    <w:rsid w:val="3FC842EC"/>
    <w:rsid w:val="3FC96165"/>
    <w:rsid w:val="3FD0747C"/>
    <w:rsid w:val="3FDA2F9E"/>
    <w:rsid w:val="3FDB09AC"/>
    <w:rsid w:val="3FDC0DDC"/>
    <w:rsid w:val="3FEE5762"/>
    <w:rsid w:val="40175FA1"/>
    <w:rsid w:val="402D350D"/>
    <w:rsid w:val="402D5672"/>
    <w:rsid w:val="403802ED"/>
    <w:rsid w:val="407E3BF2"/>
    <w:rsid w:val="40EF13CA"/>
    <w:rsid w:val="40F7192E"/>
    <w:rsid w:val="40FA143B"/>
    <w:rsid w:val="40FA252F"/>
    <w:rsid w:val="41075C9E"/>
    <w:rsid w:val="410B42F3"/>
    <w:rsid w:val="41250249"/>
    <w:rsid w:val="41312621"/>
    <w:rsid w:val="413C460F"/>
    <w:rsid w:val="414A567B"/>
    <w:rsid w:val="41532F65"/>
    <w:rsid w:val="415D4149"/>
    <w:rsid w:val="415E6EA9"/>
    <w:rsid w:val="41762D4D"/>
    <w:rsid w:val="41883BA4"/>
    <w:rsid w:val="41904347"/>
    <w:rsid w:val="41AE54DD"/>
    <w:rsid w:val="41B01549"/>
    <w:rsid w:val="41B14C97"/>
    <w:rsid w:val="41C16FE9"/>
    <w:rsid w:val="41C37D77"/>
    <w:rsid w:val="41C929D2"/>
    <w:rsid w:val="41DA54D8"/>
    <w:rsid w:val="41FA16D6"/>
    <w:rsid w:val="42022339"/>
    <w:rsid w:val="420462A2"/>
    <w:rsid w:val="42071C33"/>
    <w:rsid w:val="422232A6"/>
    <w:rsid w:val="423568A3"/>
    <w:rsid w:val="423D5A66"/>
    <w:rsid w:val="427C5A63"/>
    <w:rsid w:val="42847D12"/>
    <w:rsid w:val="42984DF0"/>
    <w:rsid w:val="429A62B9"/>
    <w:rsid w:val="429E3344"/>
    <w:rsid w:val="429F76A5"/>
    <w:rsid w:val="42A74106"/>
    <w:rsid w:val="42AE1DB0"/>
    <w:rsid w:val="42D068DB"/>
    <w:rsid w:val="42D55C5A"/>
    <w:rsid w:val="42D6343C"/>
    <w:rsid w:val="42D972C6"/>
    <w:rsid w:val="42E27A71"/>
    <w:rsid w:val="42E3216A"/>
    <w:rsid w:val="42F45BF3"/>
    <w:rsid w:val="43066362"/>
    <w:rsid w:val="430B16C1"/>
    <w:rsid w:val="4322009B"/>
    <w:rsid w:val="43543068"/>
    <w:rsid w:val="435C1F1C"/>
    <w:rsid w:val="435E79D1"/>
    <w:rsid w:val="436A4175"/>
    <w:rsid w:val="437F1AF7"/>
    <w:rsid w:val="438057A2"/>
    <w:rsid w:val="43A546F5"/>
    <w:rsid w:val="43B43B06"/>
    <w:rsid w:val="43C65BB4"/>
    <w:rsid w:val="43D75EDF"/>
    <w:rsid w:val="43DE62D2"/>
    <w:rsid w:val="43E4588D"/>
    <w:rsid w:val="43E66354"/>
    <w:rsid w:val="43E830CC"/>
    <w:rsid w:val="43F26FA3"/>
    <w:rsid w:val="43F31DE0"/>
    <w:rsid w:val="43F47856"/>
    <w:rsid w:val="440045F7"/>
    <w:rsid w:val="44030D67"/>
    <w:rsid w:val="440359D1"/>
    <w:rsid w:val="44056D4A"/>
    <w:rsid w:val="440700DA"/>
    <w:rsid w:val="441D5B50"/>
    <w:rsid w:val="443C7399"/>
    <w:rsid w:val="443D4E5E"/>
    <w:rsid w:val="445D2CA3"/>
    <w:rsid w:val="445E7602"/>
    <w:rsid w:val="44764610"/>
    <w:rsid w:val="44890AEF"/>
    <w:rsid w:val="44953938"/>
    <w:rsid w:val="449B2379"/>
    <w:rsid w:val="449C5D5B"/>
    <w:rsid w:val="44AA3914"/>
    <w:rsid w:val="44D96E82"/>
    <w:rsid w:val="44F61691"/>
    <w:rsid w:val="45004271"/>
    <w:rsid w:val="45091E4C"/>
    <w:rsid w:val="45097749"/>
    <w:rsid w:val="450E2C6D"/>
    <w:rsid w:val="451000E8"/>
    <w:rsid w:val="452F5B3A"/>
    <w:rsid w:val="45361B7A"/>
    <w:rsid w:val="45551CD2"/>
    <w:rsid w:val="455F381D"/>
    <w:rsid w:val="45750675"/>
    <w:rsid w:val="458336CE"/>
    <w:rsid w:val="459019B6"/>
    <w:rsid w:val="45934B8E"/>
    <w:rsid w:val="4594599D"/>
    <w:rsid w:val="459C1818"/>
    <w:rsid w:val="45B94936"/>
    <w:rsid w:val="45C47FEA"/>
    <w:rsid w:val="45C77F5D"/>
    <w:rsid w:val="45CC3389"/>
    <w:rsid w:val="45D04C30"/>
    <w:rsid w:val="45E62C0C"/>
    <w:rsid w:val="45E87ACC"/>
    <w:rsid w:val="45F30715"/>
    <w:rsid w:val="46026DAB"/>
    <w:rsid w:val="46152C58"/>
    <w:rsid w:val="46280B2B"/>
    <w:rsid w:val="463D4287"/>
    <w:rsid w:val="46494559"/>
    <w:rsid w:val="46496788"/>
    <w:rsid w:val="465A0995"/>
    <w:rsid w:val="465E797E"/>
    <w:rsid w:val="46647A66"/>
    <w:rsid w:val="4666041D"/>
    <w:rsid w:val="466B0189"/>
    <w:rsid w:val="46761606"/>
    <w:rsid w:val="46765A1C"/>
    <w:rsid w:val="467B08ED"/>
    <w:rsid w:val="469A6680"/>
    <w:rsid w:val="469F783D"/>
    <w:rsid w:val="46A936CA"/>
    <w:rsid w:val="46B7537D"/>
    <w:rsid w:val="46BD2F34"/>
    <w:rsid w:val="46C171F7"/>
    <w:rsid w:val="46C82706"/>
    <w:rsid w:val="46C83A73"/>
    <w:rsid w:val="46D72568"/>
    <w:rsid w:val="46F61AFC"/>
    <w:rsid w:val="470459AE"/>
    <w:rsid w:val="471379FA"/>
    <w:rsid w:val="472D7E58"/>
    <w:rsid w:val="47353F4A"/>
    <w:rsid w:val="47526E1C"/>
    <w:rsid w:val="4760502F"/>
    <w:rsid w:val="47706F2B"/>
    <w:rsid w:val="477B3A86"/>
    <w:rsid w:val="47905373"/>
    <w:rsid w:val="47951059"/>
    <w:rsid w:val="479E3926"/>
    <w:rsid w:val="47A45B75"/>
    <w:rsid w:val="47A6721B"/>
    <w:rsid w:val="47A83982"/>
    <w:rsid w:val="47AA14A8"/>
    <w:rsid w:val="47AC5B29"/>
    <w:rsid w:val="47B32567"/>
    <w:rsid w:val="47B75C51"/>
    <w:rsid w:val="47C86AD6"/>
    <w:rsid w:val="47CD2123"/>
    <w:rsid w:val="47D3206E"/>
    <w:rsid w:val="47DB3B56"/>
    <w:rsid w:val="47DF64E5"/>
    <w:rsid w:val="47F54465"/>
    <w:rsid w:val="47F65A41"/>
    <w:rsid w:val="47FB61A8"/>
    <w:rsid w:val="48083A06"/>
    <w:rsid w:val="48125E4D"/>
    <w:rsid w:val="4812704D"/>
    <w:rsid w:val="481B1ECE"/>
    <w:rsid w:val="48286871"/>
    <w:rsid w:val="48334CC9"/>
    <w:rsid w:val="48547C51"/>
    <w:rsid w:val="485D476D"/>
    <w:rsid w:val="485D651B"/>
    <w:rsid w:val="48643D4D"/>
    <w:rsid w:val="486D794F"/>
    <w:rsid w:val="488A36D6"/>
    <w:rsid w:val="48A0549A"/>
    <w:rsid w:val="48B55C68"/>
    <w:rsid w:val="48C42A3E"/>
    <w:rsid w:val="48CB0D9B"/>
    <w:rsid w:val="48CF1133"/>
    <w:rsid w:val="48DC0ABA"/>
    <w:rsid w:val="48EE01B9"/>
    <w:rsid w:val="48EF3C78"/>
    <w:rsid w:val="492357D0"/>
    <w:rsid w:val="492D3531"/>
    <w:rsid w:val="4937560A"/>
    <w:rsid w:val="495E6476"/>
    <w:rsid w:val="49760E4E"/>
    <w:rsid w:val="49784437"/>
    <w:rsid w:val="498B7AA4"/>
    <w:rsid w:val="498E11E5"/>
    <w:rsid w:val="499757F2"/>
    <w:rsid w:val="49A91831"/>
    <w:rsid w:val="49BE56DF"/>
    <w:rsid w:val="49BF665B"/>
    <w:rsid w:val="49D7054F"/>
    <w:rsid w:val="49DF2012"/>
    <w:rsid w:val="4A28367C"/>
    <w:rsid w:val="4A3516A7"/>
    <w:rsid w:val="4A477487"/>
    <w:rsid w:val="4A6F2D70"/>
    <w:rsid w:val="4A8C5857"/>
    <w:rsid w:val="4A955AD3"/>
    <w:rsid w:val="4AA033A5"/>
    <w:rsid w:val="4AAC19DB"/>
    <w:rsid w:val="4ACB57CC"/>
    <w:rsid w:val="4AD11442"/>
    <w:rsid w:val="4AD71050"/>
    <w:rsid w:val="4ADF539B"/>
    <w:rsid w:val="4AE0671C"/>
    <w:rsid w:val="4AFF39A7"/>
    <w:rsid w:val="4B0F4C11"/>
    <w:rsid w:val="4B15132F"/>
    <w:rsid w:val="4B26353C"/>
    <w:rsid w:val="4B2F55D4"/>
    <w:rsid w:val="4B3142D7"/>
    <w:rsid w:val="4B3204B9"/>
    <w:rsid w:val="4B443F5D"/>
    <w:rsid w:val="4B56048C"/>
    <w:rsid w:val="4B647F84"/>
    <w:rsid w:val="4B716827"/>
    <w:rsid w:val="4B7F0857"/>
    <w:rsid w:val="4B8B6E69"/>
    <w:rsid w:val="4BB04E28"/>
    <w:rsid w:val="4BC863A1"/>
    <w:rsid w:val="4BCB40E3"/>
    <w:rsid w:val="4BD332E5"/>
    <w:rsid w:val="4BF016FF"/>
    <w:rsid w:val="4C054033"/>
    <w:rsid w:val="4C172E84"/>
    <w:rsid w:val="4C1C45B7"/>
    <w:rsid w:val="4C537033"/>
    <w:rsid w:val="4C5F79B9"/>
    <w:rsid w:val="4C883D82"/>
    <w:rsid w:val="4C935755"/>
    <w:rsid w:val="4CC32799"/>
    <w:rsid w:val="4CCD673F"/>
    <w:rsid w:val="4CD25197"/>
    <w:rsid w:val="4CD323D3"/>
    <w:rsid w:val="4CD52FE6"/>
    <w:rsid w:val="4CD8325D"/>
    <w:rsid w:val="4CDF7E46"/>
    <w:rsid w:val="4CE0574F"/>
    <w:rsid w:val="4CF501AC"/>
    <w:rsid w:val="4CF5766A"/>
    <w:rsid w:val="4D326F78"/>
    <w:rsid w:val="4D336FCF"/>
    <w:rsid w:val="4D3E60BB"/>
    <w:rsid w:val="4D3E78CD"/>
    <w:rsid w:val="4D450A27"/>
    <w:rsid w:val="4D54670E"/>
    <w:rsid w:val="4D641DBF"/>
    <w:rsid w:val="4D735C4D"/>
    <w:rsid w:val="4D7A2324"/>
    <w:rsid w:val="4D885A44"/>
    <w:rsid w:val="4D9549A9"/>
    <w:rsid w:val="4DB50BA7"/>
    <w:rsid w:val="4DBD11D2"/>
    <w:rsid w:val="4E06107E"/>
    <w:rsid w:val="4E0F7048"/>
    <w:rsid w:val="4E1C10AB"/>
    <w:rsid w:val="4E371003"/>
    <w:rsid w:val="4E431759"/>
    <w:rsid w:val="4E4D7E58"/>
    <w:rsid w:val="4E600A7E"/>
    <w:rsid w:val="4E6A7935"/>
    <w:rsid w:val="4E922C96"/>
    <w:rsid w:val="4E942753"/>
    <w:rsid w:val="4EAD18CA"/>
    <w:rsid w:val="4EB3158A"/>
    <w:rsid w:val="4EBE7F2F"/>
    <w:rsid w:val="4EC83D28"/>
    <w:rsid w:val="4ECB51EA"/>
    <w:rsid w:val="4ED00D27"/>
    <w:rsid w:val="4EDD2163"/>
    <w:rsid w:val="4EDD5641"/>
    <w:rsid w:val="4EE51018"/>
    <w:rsid w:val="4F00569F"/>
    <w:rsid w:val="4F2B7981"/>
    <w:rsid w:val="4F3512A3"/>
    <w:rsid w:val="4F422745"/>
    <w:rsid w:val="4F494113"/>
    <w:rsid w:val="4F4D38F0"/>
    <w:rsid w:val="4F5D6A4F"/>
    <w:rsid w:val="4F6A4471"/>
    <w:rsid w:val="4F805993"/>
    <w:rsid w:val="4F9D0B1C"/>
    <w:rsid w:val="4FA40ED3"/>
    <w:rsid w:val="4FD43019"/>
    <w:rsid w:val="4FD87A55"/>
    <w:rsid w:val="4FF21C3E"/>
    <w:rsid w:val="4FF93F39"/>
    <w:rsid w:val="50084F19"/>
    <w:rsid w:val="500E5044"/>
    <w:rsid w:val="501A4C4A"/>
    <w:rsid w:val="501B16B3"/>
    <w:rsid w:val="502838B2"/>
    <w:rsid w:val="502D5544"/>
    <w:rsid w:val="50387003"/>
    <w:rsid w:val="503D71FC"/>
    <w:rsid w:val="504927CC"/>
    <w:rsid w:val="506B19F1"/>
    <w:rsid w:val="50715259"/>
    <w:rsid w:val="50744D49"/>
    <w:rsid w:val="507B7A10"/>
    <w:rsid w:val="50884351"/>
    <w:rsid w:val="50942CF5"/>
    <w:rsid w:val="50A45E47"/>
    <w:rsid w:val="50DC4393"/>
    <w:rsid w:val="50F0696D"/>
    <w:rsid w:val="50FA3034"/>
    <w:rsid w:val="50FA430C"/>
    <w:rsid w:val="510655FD"/>
    <w:rsid w:val="51070065"/>
    <w:rsid w:val="5108459C"/>
    <w:rsid w:val="51171B91"/>
    <w:rsid w:val="511856D5"/>
    <w:rsid w:val="5127693B"/>
    <w:rsid w:val="51281690"/>
    <w:rsid w:val="512F6EC2"/>
    <w:rsid w:val="51317E93"/>
    <w:rsid w:val="51651C41"/>
    <w:rsid w:val="517D5E7F"/>
    <w:rsid w:val="5187414F"/>
    <w:rsid w:val="518C7E71"/>
    <w:rsid w:val="519D7854"/>
    <w:rsid w:val="51A2290E"/>
    <w:rsid w:val="51A9209C"/>
    <w:rsid w:val="51C047F1"/>
    <w:rsid w:val="51C53B15"/>
    <w:rsid w:val="51D16161"/>
    <w:rsid w:val="51DE5856"/>
    <w:rsid w:val="51E63A25"/>
    <w:rsid w:val="51E8191E"/>
    <w:rsid w:val="51F4269B"/>
    <w:rsid w:val="51F43732"/>
    <w:rsid w:val="52012C5F"/>
    <w:rsid w:val="521F6197"/>
    <w:rsid w:val="523251E8"/>
    <w:rsid w:val="523A4235"/>
    <w:rsid w:val="524C5EAE"/>
    <w:rsid w:val="52661B1B"/>
    <w:rsid w:val="52702C6B"/>
    <w:rsid w:val="528D5C4E"/>
    <w:rsid w:val="529C4A96"/>
    <w:rsid w:val="529C5152"/>
    <w:rsid w:val="52AB6335"/>
    <w:rsid w:val="52CC5972"/>
    <w:rsid w:val="52CF270B"/>
    <w:rsid w:val="52D1374D"/>
    <w:rsid w:val="52D65847"/>
    <w:rsid w:val="52E7651A"/>
    <w:rsid w:val="53087FF5"/>
    <w:rsid w:val="532C79FA"/>
    <w:rsid w:val="532D19B8"/>
    <w:rsid w:val="53363228"/>
    <w:rsid w:val="533B0998"/>
    <w:rsid w:val="534C254D"/>
    <w:rsid w:val="53517149"/>
    <w:rsid w:val="5366395A"/>
    <w:rsid w:val="536B211D"/>
    <w:rsid w:val="536D1D18"/>
    <w:rsid w:val="53814739"/>
    <w:rsid w:val="538168C3"/>
    <w:rsid w:val="538434F5"/>
    <w:rsid w:val="538854AB"/>
    <w:rsid w:val="53890B0C"/>
    <w:rsid w:val="539D45B7"/>
    <w:rsid w:val="539F486C"/>
    <w:rsid w:val="53BE72AB"/>
    <w:rsid w:val="53C4294A"/>
    <w:rsid w:val="53CD1ECB"/>
    <w:rsid w:val="53DC2690"/>
    <w:rsid w:val="53EC2E48"/>
    <w:rsid w:val="53F93E22"/>
    <w:rsid w:val="54177EC5"/>
    <w:rsid w:val="54231989"/>
    <w:rsid w:val="54271D93"/>
    <w:rsid w:val="543C587A"/>
    <w:rsid w:val="54484523"/>
    <w:rsid w:val="544E765F"/>
    <w:rsid w:val="54535BA7"/>
    <w:rsid w:val="546319AF"/>
    <w:rsid w:val="5469774B"/>
    <w:rsid w:val="547A20D2"/>
    <w:rsid w:val="54842ABD"/>
    <w:rsid w:val="54883066"/>
    <w:rsid w:val="548A243E"/>
    <w:rsid w:val="548C0587"/>
    <w:rsid w:val="549239F0"/>
    <w:rsid w:val="5495528E"/>
    <w:rsid w:val="54BE6593"/>
    <w:rsid w:val="54DF6189"/>
    <w:rsid w:val="54F50E63"/>
    <w:rsid w:val="552705DC"/>
    <w:rsid w:val="552D5B8C"/>
    <w:rsid w:val="55313209"/>
    <w:rsid w:val="553E75B5"/>
    <w:rsid w:val="55505B09"/>
    <w:rsid w:val="55655EF4"/>
    <w:rsid w:val="5572740F"/>
    <w:rsid w:val="557B6F90"/>
    <w:rsid w:val="557D644E"/>
    <w:rsid w:val="55894DF3"/>
    <w:rsid w:val="5594168D"/>
    <w:rsid w:val="559C27FA"/>
    <w:rsid w:val="559C71E9"/>
    <w:rsid w:val="55A6314B"/>
    <w:rsid w:val="55AA001D"/>
    <w:rsid w:val="55AB6164"/>
    <w:rsid w:val="55E2414B"/>
    <w:rsid w:val="55FE0534"/>
    <w:rsid w:val="560B7D9C"/>
    <w:rsid w:val="56735015"/>
    <w:rsid w:val="56B52A05"/>
    <w:rsid w:val="56C024DD"/>
    <w:rsid w:val="56C74ED9"/>
    <w:rsid w:val="56D46542"/>
    <w:rsid w:val="56E41F92"/>
    <w:rsid w:val="56EB1A4B"/>
    <w:rsid w:val="56EB4737"/>
    <w:rsid w:val="56F94227"/>
    <w:rsid w:val="56F950A3"/>
    <w:rsid w:val="570453AC"/>
    <w:rsid w:val="57166DFA"/>
    <w:rsid w:val="57183033"/>
    <w:rsid w:val="57315742"/>
    <w:rsid w:val="573E7E5F"/>
    <w:rsid w:val="5755718C"/>
    <w:rsid w:val="576A47AB"/>
    <w:rsid w:val="57797BC0"/>
    <w:rsid w:val="579E4882"/>
    <w:rsid w:val="57A37CC2"/>
    <w:rsid w:val="57A46D34"/>
    <w:rsid w:val="57AC12C5"/>
    <w:rsid w:val="57D808E7"/>
    <w:rsid w:val="57FF75EE"/>
    <w:rsid w:val="581035A9"/>
    <w:rsid w:val="58217ACB"/>
    <w:rsid w:val="585D4315"/>
    <w:rsid w:val="586C4558"/>
    <w:rsid w:val="586D36E5"/>
    <w:rsid w:val="58783D05"/>
    <w:rsid w:val="58935F89"/>
    <w:rsid w:val="58B92F82"/>
    <w:rsid w:val="58C33BEB"/>
    <w:rsid w:val="58C962C6"/>
    <w:rsid w:val="58DA0917"/>
    <w:rsid w:val="58DE3F06"/>
    <w:rsid w:val="58F80F4E"/>
    <w:rsid w:val="59165E23"/>
    <w:rsid w:val="593212FE"/>
    <w:rsid w:val="59331FF7"/>
    <w:rsid w:val="59371318"/>
    <w:rsid w:val="5960104D"/>
    <w:rsid w:val="596C2A61"/>
    <w:rsid w:val="59701E26"/>
    <w:rsid w:val="599C1B5F"/>
    <w:rsid w:val="599C2C1B"/>
    <w:rsid w:val="599C6C07"/>
    <w:rsid w:val="599F637C"/>
    <w:rsid w:val="59A83DDF"/>
    <w:rsid w:val="59B2308C"/>
    <w:rsid w:val="59B71CBF"/>
    <w:rsid w:val="59BD7612"/>
    <w:rsid w:val="59C06909"/>
    <w:rsid w:val="59E049DA"/>
    <w:rsid w:val="59E3136D"/>
    <w:rsid w:val="59EA39B5"/>
    <w:rsid w:val="5A1F7205"/>
    <w:rsid w:val="5A3A5B53"/>
    <w:rsid w:val="5A3F1F24"/>
    <w:rsid w:val="5A6F7D2D"/>
    <w:rsid w:val="5A721363"/>
    <w:rsid w:val="5A743C84"/>
    <w:rsid w:val="5A7A472C"/>
    <w:rsid w:val="5A7B32DA"/>
    <w:rsid w:val="5A8738CB"/>
    <w:rsid w:val="5AA06D00"/>
    <w:rsid w:val="5AC05880"/>
    <w:rsid w:val="5AF51304"/>
    <w:rsid w:val="5AFD2321"/>
    <w:rsid w:val="5B0D560D"/>
    <w:rsid w:val="5B182775"/>
    <w:rsid w:val="5B480736"/>
    <w:rsid w:val="5B5C1A2D"/>
    <w:rsid w:val="5B7A6F8C"/>
    <w:rsid w:val="5B8F49CD"/>
    <w:rsid w:val="5B925432"/>
    <w:rsid w:val="5BAB0882"/>
    <w:rsid w:val="5BC22E0D"/>
    <w:rsid w:val="5BCC33F3"/>
    <w:rsid w:val="5BCD1DF8"/>
    <w:rsid w:val="5BD24D4E"/>
    <w:rsid w:val="5BD6469E"/>
    <w:rsid w:val="5BEA1C12"/>
    <w:rsid w:val="5BF925A6"/>
    <w:rsid w:val="5C0A3007"/>
    <w:rsid w:val="5C2313D1"/>
    <w:rsid w:val="5C306FF1"/>
    <w:rsid w:val="5C3B75B9"/>
    <w:rsid w:val="5C416FF0"/>
    <w:rsid w:val="5C5123E2"/>
    <w:rsid w:val="5C5D614F"/>
    <w:rsid w:val="5C8342CD"/>
    <w:rsid w:val="5C942049"/>
    <w:rsid w:val="5CAE3391"/>
    <w:rsid w:val="5CEE1B8A"/>
    <w:rsid w:val="5D257F77"/>
    <w:rsid w:val="5D343E1C"/>
    <w:rsid w:val="5D595C99"/>
    <w:rsid w:val="5D700BB2"/>
    <w:rsid w:val="5D724133"/>
    <w:rsid w:val="5D747905"/>
    <w:rsid w:val="5D7719D5"/>
    <w:rsid w:val="5D8840F0"/>
    <w:rsid w:val="5DA632F4"/>
    <w:rsid w:val="5DA71BDD"/>
    <w:rsid w:val="5DA831D9"/>
    <w:rsid w:val="5DBF5E9C"/>
    <w:rsid w:val="5DE41831"/>
    <w:rsid w:val="5DF04865"/>
    <w:rsid w:val="5DFD1912"/>
    <w:rsid w:val="5E22432D"/>
    <w:rsid w:val="5E2D4789"/>
    <w:rsid w:val="5E36363E"/>
    <w:rsid w:val="5E385608"/>
    <w:rsid w:val="5E4A70E9"/>
    <w:rsid w:val="5E540CE9"/>
    <w:rsid w:val="5E565C94"/>
    <w:rsid w:val="5E8720EC"/>
    <w:rsid w:val="5E8E1C0D"/>
    <w:rsid w:val="5E8E347A"/>
    <w:rsid w:val="5E9A1E1F"/>
    <w:rsid w:val="5EAC3900"/>
    <w:rsid w:val="5EB8503C"/>
    <w:rsid w:val="5ED62E95"/>
    <w:rsid w:val="5EF502AC"/>
    <w:rsid w:val="5EFD36AE"/>
    <w:rsid w:val="5F021EAB"/>
    <w:rsid w:val="5F134BAA"/>
    <w:rsid w:val="5F144235"/>
    <w:rsid w:val="5F1C5ECE"/>
    <w:rsid w:val="5F2622DE"/>
    <w:rsid w:val="5F3106FA"/>
    <w:rsid w:val="5F3C589A"/>
    <w:rsid w:val="5F574316"/>
    <w:rsid w:val="5F670706"/>
    <w:rsid w:val="5F7D704B"/>
    <w:rsid w:val="5F8D36BF"/>
    <w:rsid w:val="5F904FD0"/>
    <w:rsid w:val="5F914B83"/>
    <w:rsid w:val="5F9468A5"/>
    <w:rsid w:val="5FA628F6"/>
    <w:rsid w:val="5FAF1D11"/>
    <w:rsid w:val="5FB915C1"/>
    <w:rsid w:val="5FC77149"/>
    <w:rsid w:val="5FDC1C1E"/>
    <w:rsid w:val="5FF612D7"/>
    <w:rsid w:val="60057095"/>
    <w:rsid w:val="60074E6A"/>
    <w:rsid w:val="60194FC5"/>
    <w:rsid w:val="603F6634"/>
    <w:rsid w:val="60630BF0"/>
    <w:rsid w:val="606F2E37"/>
    <w:rsid w:val="60835262"/>
    <w:rsid w:val="60850D79"/>
    <w:rsid w:val="60877B83"/>
    <w:rsid w:val="60892113"/>
    <w:rsid w:val="6096281D"/>
    <w:rsid w:val="60BE791B"/>
    <w:rsid w:val="60C51D11"/>
    <w:rsid w:val="60C966A4"/>
    <w:rsid w:val="60EF425E"/>
    <w:rsid w:val="60F021CA"/>
    <w:rsid w:val="60F55502"/>
    <w:rsid w:val="60FD179A"/>
    <w:rsid w:val="61025186"/>
    <w:rsid w:val="61057F3A"/>
    <w:rsid w:val="610C6A7E"/>
    <w:rsid w:val="610E3843"/>
    <w:rsid w:val="611F1F5D"/>
    <w:rsid w:val="614505C7"/>
    <w:rsid w:val="6148324C"/>
    <w:rsid w:val="61534507"/>
    <w:rsid w:val="615D00D5"/>
    <w:rsid w:val="616E0DA1"/>
    <w:rsid w:val="617A7CE6"/>
    <w:rsid w:val="617E5764"/>
    <w:rsid w:val="61A04973"/>
    <w:rsid w:val="61A06CDF"/>
    <w:rsid w:val="61C947C9"/>
    <w:rsid w:val="61D70C94"/>
    <w:rsid w:val="61E57197"/>
    <w:rsid w:val="61FD0357"/>
    <w:rsid w:val="620200DC"/>
    <w:rsid w:val="62175A17"/>
    <w:rsid w:val="62185DFF"/>
    <w:rsid w:val="622F7F12"/>
    <w:rsid w:val="62404A8B"/>
    <w:rsid w:val="62593D9F"/>
    <w:rsid w:val="626341C3"/>
    <w:rsid w:val="626C5004"/>
    <w:rsid w:val="62762F36"/>
    <w:rsid w:val="62952CD2"/>
    <w:rsid w:val="62B50F76"/>
    <w:rsid w:val="62BA1B68"/>
    <w:rsid w:val="62BE2372"/>
    <w:rsid w:val="62C21944"/>
    <w:rsid w:val="62C4226B"/>
    <w:rsid w:val="62C51434"/>
    <w:rsid w:val="62D33B51"/>
    <w:rsid w:val="62EB5AFC"/>
    <w:rsid w:val="63082C8A"/>
    <w:rsid w:val="630C1CCD"/>
    <w:rsid w:val="6311152E"/>
    <w:rsid w:val="631726B9"/>
    <w:rsid w:val="63181564"/>
    <w:rsid w:val="63195917"/>
    <w:rsid w:val="631A2A8B"/>
    <w:rsid w:val="631E523C"/>
    <w:rsid w:val="632E6FDA"/>
    <w:rsid w:val="632F6F6E"/>
    <w:rsid w:val="632F78D1"/>
    <w:rsid w:val="63317FE4"/>
    <w:rsid w:val="63451DBF"/>
    <w:rsid w:val="635A1B7D"/>
    <w:rsid w:val="63651249"/>
    <w:rsid w:val="637531E7"/>
    <w:rsid w:val="63890060"/>
    <w:rsid w:val="63927568"/>
    <w:rsid w:val="639B6DD8"/>
    <w:rsid w:val="63B079D6"/>
    <w:rsid w:val="63B41EC4"/>
    <w:rsid w:val="63C74A65"/>
    <w:rsid w:val="63F35B2D"/>
    <w:rsid w:val="63FC5CEF"/>
    <w:rsid w:val="64191539"/>
    <w:rsid w:val="64632CB3"/>
    <w:rsid w:val="64727D2E"/>
    <w:rsid w:val="64816AE5"/>
    <w:rsid w:val="64AE7AF2"/>
    <w:rsid w:val="64C5571C"/>
    <w:rsid w:val="64D045E1"/>
    <w:rsid w:val="64D771FD"/>
    <w:rsid w:val="64DE20F3"/>
    <w:rsid w:val="64E060B2"/>
    <w:rsid w:val="65037FF2"/>
    <w:rsid w:val="652C5B50"/>
    <w:rsid w:val="654A1C49"/>
    <w:rsid w:val="65515201"/>
    <w:rsid w:val="655C6618"/>
    <w:rsid w:val="655D7993"/>
    <w:rsid w:val="6563181F"/>
    <w:rsid w:val="656767D3"/>
    <w:rsid w:val="65AB2B63"/>
    <w:rsid w:val="65D26342"/>
    <w:rsid w:val="65F71905"/>
    <w:rsid w:val="65FD5525"/>
    <w:rsid w:val="660118BB"/>
    <w:rsid w:val="66214BD4"/>
    <w:rsid w:val="6625501B"/>
    <w:rsid w:val="663D7000"/>
    <w:rsid w:val="66443A2E"/>
    <w:rsid w:val="6646463A"/>
    <w:rsid w:val="664A7C13"/>
    <w:rsid w:val="665E7BD6"/>
    <w:rsid w:val="6663181D"/>
    <w:rsid w:val="667411A7"/>
    <w:rsid w:val="66966ACF"/>
    <w:rsid w:val="66A82508"/>
    <w:rsid w:val="66AC6C1A"/>
    <w:rsid w:val="66BA2932"/>
    <w:rsid w:val="66D0293C"/>
    <w:rsid w:val="66D30B95"/>
    <w:rsid w:val="66D5610E"/>
    <w:rsid w:val="66F37795"/>
    <w:rsid w:val="66F83B86"/>
    <w:rsid w:val="66FB26CB"/>
    <w:rsid w:val="67050051"/>
    <w:rsid w:val="670B61BA"/>
    <w:rsid w:val="670F3437"/>
    <w:rsid w:val="672B7619"/>
    <w:rsid w:val="673F0C12"/>
    <w:rsid w:val="674C01A4"/>
    <w:rsid w:val="675D4D7D"/>
    <w:rsid w:val="67717495"/>
    <w:rsid w:val="677D5E3A"/>
    <w:rsid w:val="678645DC"/>
    <w:rsid w:val="67890A12"/>
    <w:rsid w:val="679367F1"/>
    <w:rsid w:val="67A4786A"/>
    <w:rsid w:val="67AC4971"/>
    <w:rsid w:val="67B61C59"/>
    <w:rsid w:val="67D81583"/>
    <w:rsid w:val="67DF08A2"/>
    <w:rsid w:val="67E05984"/>
    <w:rsid w:val="67E1286C"/>
    <w:rsid w:val="67E326A6"/>
    <w:rsid w:val="67E71D9C"/>
    <w:rsid w:val="67E73BFB"/>
    <w:rsid w:val="67EA64C8"/>
    <w:rsid w:val="67ED316C"/>
    <w:rsid w:val="67F73E3E"/>
    <w:rsid w:val="68000819"/>
    <w:rsid w:val="68064081"/>
    <w:rsid w:val="68091050"/>
    <w:rsid w:val="680D317C"/>
    <w:rsid w:val="681C3A47"/>
    <w:rsid w:val="682416D5"/>
    <w:rsid w:val="683706DE"/>
    <w:rsid w:val="684959CD"/>
    <w:rsid w:val="685875C0"/>
    <w:rsid w:val="685B114C"/>
    <w:rsid w:val="685C79C8"/>
    <w:rsid w:val="686A0D5C"/>
    <w:rsid w:val="689478DF"/>
    <w:rsid w:val="689618A9"/>
    <w:rsid w:val="68A2260D"/>
    <w:rsid w:val="68A778F7"/>
    <w:rsid w:val="68AA3957"/>
    <w:rsid w:val="68CE3A97"/>
    <w:rsid w:val="68DA236B"/>
    <w:rsid w:val="68EC771B"/>
    <w:rsid w:val="68F77AE8"/>
    <w:rsid w:val="68FC0882"/>
    <w:rsid w:val="69076C5D"/>
    <w:rsid w:val="692602FB"/>
    <w:rsid w:val="692C0B14"/>
    <w:rsid w:val="69335A95"/>
    <w:rsid w:val="69390486"/>
    <w:rsid w:val="69513A22"/>
    <w:rsid w:val="695569BF"/>
    <w:rsid w:val="69564B94"/>
    <w:rsid w:val="695C7CBE"/>
    <w:rsid w:val="696C260A"/>
    <w:rsid w:val="69C53059"/>
    <w:rsid w:val="69CB3AD1"/>
    <w:rsid w:val="69E20B1E"/>
    <w:rsid w:val="69EA1E9A"/>
    <w:rsid w:val="69EB1780"/>
    <w:rsid w:val="69F1555E"/>
    <w:rsid w:val="69F34AD9"/>
    <w:rsid w:val="6A2B4273"/>
    <w:rsid w:val="6A3B5C82"/>
    <w:rsid w:val="6A4A2422"/>
    <w:rsid w:val="6A4B0471"/>
    <w:rsid w:val="6A4B7EB5"/>
    <w:rsid w:val="6A627569"/>
    <w:rsid w:val="6A694C78"/>
    <w:rsid w:val="6A7B324A"/>
    <w:rsid w:val="6A935934"/>
    <w:rsid w:val="6AA843DD"/>
    <w:rsid w:val="6AB95FA7"/>
    <w:rsid w:val="6ABE6E95"/>
    <w:rsid w:val="6AC743A9"/>
    <w:rsid w:val="6AD66F32"/>
    <w:rsid w:val="6ADE7537"/>
    <w:rsid w:val="6AF01018"/>
    <w:rsid w:val="6AFF2F4A"/>
    <w:rsid w:val="6B0B7337"/>
    <w:rsid w:val="6B1E4154"/>
    <w:rsid w:val="6B3727A3"/>
    <w:rsid w:val="6B446275"/>
    <w:rsid w:val="6B556742"/>
    <w:rsid w:val="6B6044F3"/>
    <w:rsid w:val="6B635FEF"/>
    <w:rsid w:val="6B8E51BB"/>
    <w:rsid w:val="6B971160"/>
    <w:rsid w:val="6BB43DF4"/>
    <w:rsid w:val="6BB44002"/>
    <w:rsid w:val="6BCB43C3"/>
    <w:rsid w:val="6BD32735"/>
    <w:rsid w:val="6BE0108D"/>
    <w:rsid w:val="6BE51400"/>
    <w:rsid w:val="6BF310DF"/>
    <w:rsid w:val="6BF902D6"/>
    <w:rsid w:val="6BF9385F"/>
    <w:rsid w:val="6BFD68E4"/>
    <w:rsid w:val="6C0C2A49"/>
    <w:rsid w:val="6C1F551D"/>
    <w:rsid w:val="6C5764F3"/>
    <w:rsid w:val="6C587E10"/>
    <w:rsid w:val="6C6B2C38"/>
    <w:rsid w:val="6C726A22"/>
    <w:rsid w:val="6C7C7593"/>
    <w:rsid w:val="6C806981"/>
    <w:rsid w:val="6C922AD0"/>
    <w:rsid w:val="6CA624EA"/>
    <w:rsid w:val="6CE1662C"/>
    <w:rsid w:val="6CF50484"/>
    <w:rsid w:val="6D0C6300"/>
    <w:rsid w:val="6D126628"/>
    <w:rsid w:val="6D2F5E28"/>
    <w:rsid w:val="6D4C69DA"/>
    <w:rsid w:val="6D5D0BE7"/>
    <w:rsid w:val="6D5E670D"/>
    <w:rsid w:val="6D5F1454"/>
    <w:rsid w:val="6D6F7A81"/>
    <w:rsid w:val="6D7061B6"/>
    <w:rsid w:val="6D7B35C7"/>
    <w:rsid w:val="6D7C1232"/>
    <w:rsid w:val="6D8E28E7"/>
    <w:rsid w:val="6D927B87"/>
    <w:rsid w:val="6D97331C"/>
    <w:rsid w:val="6DAC1EBF"/>
    <w:rsid w:val="6DD00252"/>
    <w:rsid w:val="6DD12C6E"/>
    <w:rsid w:val="6DF66946"/>
    <w:rsid w:val="6E0702C3"/>
    <w:rsid w:val="6E082F81"/>
    <w:rsid w:val="6E0B1BA3"/>
    <w:rsid w:val="6E2561D4"/>
    <w:rsid w:val="6E3B4301"/>
    <w:rsid w:val="6E4175F0"/>
    <w:rsid w:val="6E421B8B"/>
    <w:rsid w:val="6E566991"/>
    <w:rsid w:val="6E6616D3"/>
    <w:rsid w:val="6E7A5955"/>
    <w:rsid w:val="6E7D449A"/>
    <w:rsid w:val="6E812890"/>
    <w:rsid w:val="6E8129E7"/>
    <w:rsid w:val="6E994ED0"/>
    <w:rsid w:val="6EA47A5F"/>
    <w:rsid w:val="6EA94E17"/>
    <w:rsid w:val="6EC627BC"/>
    <w:rsid w:val="6EDB0E90"/>
    <w:rsid w:val="6F2134E9"/>
    <w:rsid w:val="6F2274F4"/>
    <w:rsid w:val="6F5E68E4"/>
    <w:rsid w:val="6F612952"/>
    <w:rsid w:val="6F63625D"/>
    <w:rsid w:val="6F667AFB"/>
    <w:rsid w:val="6F7D47CA"/>
    <w:rsid w:val="6FA42F27"/>
    <w:rsid w:val="6FB15812"/>
    <w:rsid w:val="6FBE7D30"/>
    <w:rsid w:val="6FCA008A"/>
    <w:rsid w:val="6FCD1928"/>
    <w:rsid w:val="6FD76F3A"/>
    <w:rsid w:val="6FEC3A4A"/>
    <w:rsid w:val="6FFE7D34"/>
    <w:rsid w:val="700215D2"/>
    <w:rsid w:val="70041245"/>
    <w:rsid w:val="700A492A"/>
    <w:rsid w:val="702C14B7"/>
    <w:rsid w:val="704448C6"/>
    <w:rsid w:val="706C0193"/>
    <w:rsid w:val="70741141"/>
    <w:rsid w:val="70785D38"/>
    <w:rsid w:val="707B5FC7"/>
    <w:rsid w:val="70906F8C"/>
    <w:rsid w:val="70A628A5"/>
    <w:rsid w:val="70AA7138"/>
    <w:rsid w:val="70B84386"/>
    <w:rsid w:val="70C26FB3"/>
    <w:rsid w:val="70D310F1"/>
    <w:rsid w:val="70DC117A"/>
    <w:rsid w:val="70E27834"/>
    <w:rsid w:val="70EB4526"/>
    <w:rsid w:val="70F03B20"/>
    <w:rsid w:val="70F52EE5"/>
    <w:rsid w:val="71123BD4"/>
    <w:rsid w:val="712D566C"/>
    <w:rsid w:val="713734FD"/>
    <w:rsid w:val="715369D8"/>
    <w:rsid w:val="715646E5"/>
    <w:rsid w:val="715B5F41"/>
    <w:rsid w:val="715C11B6"/>
    <w:rsid w:val="716F59F0"/>
    <w:rsid w:val="717004AF"/>
    <w:rsid w:val="7174734E"/>
    <w:rsid w:val="719941B8"/>
    <w:rsid w:val="71AA1F21"/>
    <w:rsid w:val="71B55328"/>
    <w:rsid w:val="71BD6174"/>
    <w:rsid w:val="71D75EC6"/>
    <w:rsid w:val="71DC52F1"/>
    <w:rsid w:val="71E80D3A"/>
    <w:rsid w:val="721044EA"/>
    <w:rsid w:val="72152B95"/>
    <w:rsid w:val="72174375"/>
    <w:rsid w:val="72191B99"/>
    <w:rsid w:val="72210452"/>
    <w:rsid w:val="72233D38"/>
    <w:rsid w:val="722E2B52"/>
    <w:rsid w:val="72307CD9"/>
    <w:rsid w:val="724539F8"/>
    <w:rsid w:val="726C012F"/>
    <w:rsid w:val="72705875"/>
    <w:rsid w:val="727158F8"/>
    <w:rsid w:val="72785B7B"/>
    <w:rsid w:val="729579C2"/>
    <w:rsid w:val="729A69FD"/>
    <w:rsid w:val="729D25D4"/>
    <w:rsid w:val="72B5448A"/>
    <w:rsid w:val="72B62B48"/>
    <w:rsid w:val="72C60FDD"/>
    <w:rsid w:val="72E5799D"/>
    <w:rsid w:val="72EC25A5"/>
    <w:rsid w:val="73067E35"/>
    <w:rsid w:val="731D4975"/>
    <w:rsid w:val="73267FC6"/>
    <w:rsid w:val="73351CBE"/>
    <w:rsid w:val="73373C88"/>
    <w:rsid w:val="735A362C"/>
    <w:rsid w:val="736E6F7E"/>
    <w:rsid w:val="73A1666C"/>
    <w:rsid w:val="73A346B2"/>
    <w:rsid w:val="73AA2322"/>
    <w:rsid w:val="73C24F7C"/>
    <w:rsid w:val="73CF7075"/>
    <w:rsid w:val="73D66229"/>
    <w:rsid w:val="73DF5113"/>
    <w:rsid w:val="73FA0DCA"/>
    <w:rsid w:val="741D6775"/>
    <w:rsid w:val="74200DBA"/>
    <w:rsid w:val="7427458C"/>
    <w:rsid w:val="74281CF2"/>
    <w:rsid w:val="74371B9E"/>
    <w:rsid w:val="743C6063"/>
    <w:rsid w:val="743D36AF"/>
    <w:rsid w:val="744300D4"/>
    <w:rsid w:val="74681C20"/>
    <w:rsid w:val="74820F33"/>
    <w:rsid w:val="749127FD"/>
    <w:rsid w:val="74A40EAA"/>
    <w:rsid w:val="74B118ED"/>
    <w:rsid w:val="74BA4845"/>
    <w:rsid w:val="74C32A16"/>
    <w:rsid w:val="74CC7F94"/>
    <w:rsid w:val="74D515DF"/>
    <w:rsid w:val="74DC4AE7"/>
    <w:rsid w:val="74E4399C"/>
    <w:rsid w:val="74F2198D"/>
    <w:rsid w:val="75045F1D"/>
    <w:rsid w:val="750B0F29"/>
    <w:rsid w:val="751100F5"/>
    <w:rsid w:val="75247BC3"/>
    <w:rsid w:val="752B03D6"/>
    <w:rsid w:val="753554D9"/>
    <w:rsid w:val="753A2E87"/>
    <w:rsid w:val="75506659"/>
    <w:rsid w:val="759F54D7"/>
    <w:rsid w:val="75B020CB"/>
    <w:rsid w:val="75B3511C"/>
    <w:rsid w:val="75B765F5"/>
    <w:rsid w:val="75BB3F2B"/>
    <w:rsid w:val="75BC0192"/>
    <w:rsid w:val="75BD11F0"/>
    <w:rsid w:val="75CD34AA"/>
    <w:rsid w:val="7603382F"/>
    <w:rsid w:val="761C5B48"/>
    <w:rsid w:val="7621658C"/>
    <w:rsid w:val="76312C11"/>
    <w:rsid w:val="76385D93"/>
    <w:rsid w:val="76391E51"/>
    <w:rsid w:val="763E0E8A"/>
    <w:rsid w:val="763E70DC"/>
    <w:rsid w:val="764B089B"/>
    <w:rsid w:val="76537293"/>
    <w:rsid w:val="7678005C"/>
    <w:rsid w:val="767C6EB0"/>
    <w:rsid w:val="76917A5A"/>
    <w:rsid w:val="769D65B1"/>
    <w:rsid w:val="769E7B7B"/>
    <w:rsid w:val="76DA7925"/>
    <w:rsid w:val="76DC69D5"/>
    <w:rsid w:val="76F0487A"/>
    <w:rsid w:val="77106CCA"/>
    <w:rsid w:val="775B61E3"/>
    <w:rsid w:val="77662524"/>
    <w:rsid w:val="7788574F"/>
    <w:rsid w:val="778C3E77"/>
    <w:rsid w:val="779A17FF"/>
    <w:rsid w:val="779C64D3"/>
    <w:rsid w:val="779D6084"/>
    <w:rsid w:val="77BC70EA"/>
    <w:rsid w:val="77D953E8"/>
    <w:rsid w:val="77F760F1"/>
    <w:rsid w:val="780103C1"/>
    <w:rsid w:val="780446B8"/>
    <w:rsid w:val="78171191"/>
    <w:rsid w:val="781F5ABC"/>
    <w:rsid w:val="78327625"/>
    <w:rsid w:val="78441CF7"/>
    <w:rsid w:val="7850650B"/>
    <w:rsid w:val="78587E0C"/>
    <w:rsid w:val="787E5EB6"/>
    <w:rsid w:val="788C05D2"/>
    <w:rsid w:val="788F3C1F"/>
    <w:rsid w:val="7892419A"/>
    <w:rsid w:val="78975629"/>
    <w:rsid w:val="78BC33A1"/>
    <w:rsid w:val="78EF7D76"/>
    <w:rsid w:val="79225239"/>
    <w:rsid w:val="79542668"/>
    <w:rsid w:val="795A0E71"/>
    <w:rsid w:val="797A26BC"/>
    <w:rsid w:val="79974B02"/>
    <w:rsid w:val="799C4DC1"/>
    <w:rsid w:val="799D05BD"/>
    <w:rsid w:val="79A04FDE"/>
    <w:rsid w:val="79A949C8"/>
    <w:rsid w:val="79BB1A31"/>
    <w:rsid w:val="79BE2540"/>
    <w:rsid w:val="79C50972"/>
    <w:rsid w:val="79DD0015"/>
    <w:rsid w:val="79DF047A"/>
    <w:rsid w:val="79E420F9"/>
    <w:rsid w:val="79FA5A10"/>
    <w:rsid w:val="7A012D50"/>
    <w:rsid w:val="7A160049"/>
    <w:rsid w:val="7A22447B"/>
    <w:rsid w:val="7A231265"/>
    <w:rsid w:val="7A2C3F9B"/>
    <w:rsid w:val="7A2D5B1B"/>
    <w:rsid w:val="7A364867"/>
    <w:rsid w:val="7A385760"/>
    <w:rsid w:val="7A475BE8"/>
    <w:rsid w:val="7A5F3B2B"/>
    <w:rsid w:val="7A617B86"/>
    <w:rsid w:val="7A6E2FAE"/>
    <w:rsid w:val="7A804CC0"/>
    <w:rsid w:val="7A833DED"/>
    <w:rsid w:val="7AAF48BB"/>
    <w:rsid w:val="7ABC6C2B"/>
    <w:rsid w:val="7AE71A39"/>
    <w:rsid w:val="7AED5B87"/>
    <w:rsid w:val="7AF3020A"/>
    <w:rsid w:val="7AFB284F"/>
    <w:rsid w:val="7B020A9A"/>
    <w:rsid w:val="7B0D6732"/>
    <w:rsid w:val="7B12094C"/>
    <w:rsid w:val="7B233B80"/>
    <w:rsid w:val="7B407F31"/>
    <w:rsid w:val="7B53181F"/>
    <w:rsid w:val="7B533629"/>
    <w:rsid w:val="7B541DF1"/>
    <w:rsid w:val="7B5A49B8"/>
    <w:rsid w:val="7B6E2211"/>
    <w:rsid w:val="7B8009EB"/>
    <w:rsid w:val="7B8C6B3B"/>
    <w:rsid w:val="7B8E1C4C"/>
    <w:rsid w:val="7BA3327C"/>
    <w:rsid w:val="7BA93249"/>
    <w:rsid w:val="7BAD6126"/>
    <w:rsid w:val="7BB27477"/>
    <w:rsid w:val="7BBC1A53"/>
    <w:rsid w:val="7BC16B1B"/>
    <w:rsid w:val="7BD5403F"/>
    <w:rsid w:val="7BDB40F3"/>
    <w:rsid w:val="7BF66548"/>
    <w:rsid w:val="7C120DEF"/>
    <w:rsid w:val="7C175BC3"/>
    <w:rsid w:val="7C1E3B8B"/>
    <w:rsid w:val="7C2B2058"/>
    <w:rsid w:val="7C2F0744"/>
    <w:rsid w:val="7C3C2310"/>
    <w:rsid w:val="7C495D51"/>
    <w:rsid w:val="7C4E4E6B"/>
    <w:rsid w:val="7C5B4519"/>
    <w:rsid w:val="7C7F193B"/>
    <w:rsid w:val="7CA671F5"/>
    <w:rsid w:val="7CAF4890"/>
    <w:rsid w:val="7CE147E7"/>
    <w:rsid w:val="7CF20277"/>
    <w:rsid w:val="7D032E2D"/>
    <w:rsid w:val="7D311F8A"/>
    <w:rsid w:val="7D382624"/>
    <w:rsid w:val="7D533714"/>
    <w:rsid w:val="7D5E036D"/>
    <w:rsid w:val="7D645E92"/>
    <w:rsid w:val="7D8D0443"/>
    <w:rsid w:val="7D8F2F7A"/>
    <w:rsid w:val="7DA2607B"/>
    <w:rsid w:val="7DBB0E5C"/>
    <w:rsid w:val="7DCB6D0A"/>
    <w:rsid w:val="7DD56578"/>
    <w:rsid w:val="7DE373FB"/>
    <w:rsid w:val="7DE8109A"/>
    <w:rsid w:val="7DE820A4"/>
    <w:rsid w:val="7DE828A2"/>
    <w:rsid w:val="7DED1B13"/>
    <w:rsid w:val="7DF369FE"/>
    <w:rsid w:val="7E1625FD"/>
    <w:rsid w:val="7E2D1F10"/>
    <w:rsid w:val="7E2D35B4"/>
    <w:rsid w:val="7E494BD9"/>
    <w:rsid w:val="7E4B1B80"/>
    <w:rsid w:val="7E50662D"/>
    <w:rsid w:val="7E957AB5"/>
    <w:rsid w:val="7E97382D"/>
    <w:rsid w:val="7E9E59A4"/>
    <w:rsid w:val="7EAA47F1"/>
    <w:rsid w:val="7EAF3C8A"/>
    <w:rsid w:val="7ED74AAE"/>
    <w:rsid w:val="7EE60311"/>
    <w:rsid w:val="7EFB200E"/>
    <w:rsid w:val="7F051124"/>
    <w:rsid w:val="7F1C3D32"/>
    <w:rsid w:val="7F2214CF"/>
    <w:rsid w:val="7F3226D6"/>
    <w:rsid w:val="7F4D76B4"/>
    <w:rsid w:val="7F54171E"/>
    <w:rsid w:val="7F572FBC"/>
    <w:rsid w:val="7F5C06EB"/>
    <w:rsid w:val="7F7841A9"/>
    <w:rsid w:val="7F916590"/>
    <w:rsid w:val="7F9D4E73"/>
    <w:rsid w:val="7FBA3C77"/>
    <w:rsid w:val="7FBD585C"/>
    <w:rsid w:val="7FF157CA"/>
    <w:rsid w:val="7FFB06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qFormat="1"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9"/>
    <w:autoRedefine/>
    <w:qFormat/>
    <w:uiPriority w:val="0"/>
    <w:pPr>
      <w:keepNext/>
      <w:jc w:val="center"/>
      <w:outlineLvl w:val="1"/>
    </w:pPr>
    <w:rPr>
      <w:rFonts w:ascii="仿宋_GB2312" w:hAnsi="宋体" w:eastAsia="仿宋_GB2312"/>
      <w:sz w:val="32"/>
    </w:rPr>
  </w:style>
  <w:style w:type="paragraph" w:styleId="4">
    <w:name w:val="heading 3"/>
    <w:basedOn w:val="1"/>
    <w:next w:val="1"/>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45"/>
    <w:autoRedefine/>
    <w:qFormat/>
    <w:uiPriority w:val="0"/>
    <w:pPr>
      <w:keepNext/>
      <w:keepLines/>
      <w:spacing w:before="280" w:after="290" w:line="376" w:lineRule="auto"/>
      <w:outlineLvl w:val="3"/>
    </w:pPr>
    <w:rPr>
      <w:rFonts w:ascii="等线 Light" w:hAnsi="等线 Light" w:eastAsia="等线 Light"/>
      <w:b/>
      <w:bCs/>
      <w:sz w:val="28"/>
      <w:szCs w:val="28"/>
      <w:lang w:val="zh-CN"/>
    </w:rPr>
  </w:style>
  <w:style w:type="paragraph" w:styleId="6">
    <w:name w:val="heading 9"/>
    <w:basedOn w:val="1"/>
    <w:next w:val="1"/>
    <w:autoRedefine/>
    <w:qFormat/>
    <w:uiPriority w:val="0"/>
    <w:pPr>
      <w:spacing w:before="240" w:after="64" w:line="317" w:lineRule="auto"/>
      <w:outlineLvl w:val="8"/>
    </w:pPr>
    <w:rPr>
      <w:rFonts w:ascii="Arial" w:eastAsia="黑体"/>
    </w:rPr>
  </w:style>
  <w:style w:type="character" w:default="1" w:styleId="31">
    <w:name w:val="Default Paragraph Font"/>
    <w:semiHidden/>
    <w:unhideWhenUsed/>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7">
    <w:name w:val="Note Heading"/>
    <w:basedOn w:val="1"/>
    <w:next w:val="1"/>
    <w:link w:val="43"/>
    <w:autoRedefine/>
    <w:qFormat/>
    <w:uiPriority w:val="0"/>
    <w:pPr>
      <w:overflowPunct w:val="0"/>
      <w:adjustRightInd w:val="0"/>
      <w:snapToGrid w:val="0"/>
      <w:spacing w:line="300" w:lineRule="auto"/>
      <w:jc w:val="center"/>
    </w:pPr>
    <w:rPr>
      <w:szCs w:val="20"/>
    </w:rPr>
  </w:style>
  <w:style w:type="paragraph" w:styleId="8">
    <w:name w:val="index 8"/>
    <w:basedOn w:val="1"/>
    <w:next w:val="1"/>
    <w:autoRedefine/>
    <w:qFormat/>
    <w:uiPriority w:val="0"/>
    <w:pPr>
      <w:spacing w:line="276" w:lineRule="auto"/>
      <w:jc w:val="left"/>
    </w:pPr>
    <w:rPr>
      <w:rFonts w:ascii="宋体" w:hAnsi="宋体"/>
      <w:color w:val="FF0000"/>
      <w:szCs w:val="21"/>
    </w:rPr>
  </w:style>
  <w:style w:type="paragraph" w:styleId="9">
    <w:name w:val="Normal Indent"/>
    <w:basedOn w:val="1"/>
    <w:autoRedefine/>
    <w:qFormat/>
    <w:uiPriority w:val="0"/>
    <w:pPr>
      <w:ind w:firstLine="420" w:firstLineChars="200"/>
    </w:pPr>
  </w:style>
  <w:style w:type="paragraph" w:styleId="10">
    <w:name w:val="Document Map"/>
    <w:basedOn w:val="1"/>
    <w:autoRedefine/>
    <w:qFormat/>
    <w:uiPriority w:val="0"/>
    <w:pPr>
      <w:shd w:val="clear" w:color="auto" w:fill="000080"/>
    </w:pPr>
  </w:style>
  <w:style w:type="paragraph" w:styleId="11">
    <w:name w:val="annotation text"/>
    <w:basedOn w:val="1"/>
    <w:link w:val="44"/>
    <w:autoRedefine/>
    <w:qFormat/>
    <w:uiPriority w:val="0"/>
    <w:pPr>
      <w:jc w:val="left"/>
    </w:pPr>
    <w:rPr>
      <w:lang w:val="zh-CN"/>
    </w:rPr>
  </w:style>
  <w:style w:type="paragraph" w:styleId="12">
    <w:name w:val="Body Text"/>
    <w:basedOn w:val="1"/>
    <w:autoRedefine/>
    <w:qFormat/>
    <w:uiPriority w:val="0"/>
    <w:rPr>
      <w:rFonts w:ascii="宋体" w:hAnsi="宋体"/>
      <w:sz w:val="28"/>
    </w:rPr>
  </w:style>
  <w:style w:type="paragraph" w:styleId="13">
    <w:name w:val="Body Text Indent"/>
    <w:basedOn w:val="1"/>
    <w:autoRedefine/>
    <w:qFormat/>
    <w:uiPriority w:val="0"/>
    <w:pPr>
      <w:snapToGrid w:val="0"/>
      <w:spacing w:line="500" w:lineRule="exact"/>
      <w:ind w:firstLine="358" w:firstLineChars="128"/>
    </w:pPr>
    <w:rPr>
      <w:rFonts w:ascii="宋体" w:hAnsi="宋体"/>
      <w:sz w:val="28"/>
    </w:rPr>
  </w:style>
  <w:style w:type="paragraph" w:styleId="14">
    <w:name w:val="toc 3"/>
    <w:basedOn w:val="1"/>
    <w:next w:val="1"/>
    <w:autoRedefine/>
    <w:qFormat/>
    <w:uiPriority w:val="39"/>
    <w:pPr>
      <w:ind w:left="840" w:leftChars="400"/>
    </w:pPr>
  </w:style>
  <w:style w:type="paragraph" w:styleId="15">
    <w:name w:val="Plain Text"/>
    <w:basedOn w:val="1"/>
    <w:autoRedefine/>
    <w:qFormat/>
    <w:uiPriority w:val="0"/>
    <w:rPr>
      <w:rFonts w:ascii="宋体" w:hAnsi="Courier New"/>
      <w:szCs w:val="20"/>
    </w:rPr>
  </w:style>
  <w:style w:type="paragraph" w:styleId="16">
    <w:name w:val="Date"/>
    <w:basedOn w:val="1"/>
    <w:next w:val="1"/>
    <w:autoRedefine/>
    <w:qFormat/>
    <w:uiPriority w:val="0"/>
    <w:rPr>
      <w:sz w:val="24"/>
      <w:szCs w:val="20"/>
    </w:rPr>
  </w:style>
  <w:style w:type="paragraph" w:styleId="17">
    <w:name w:val="Body Text Indent 2"/>
    <w:basedOn w:val="1"/>
    <w:autoRedefine/>
    <w:qFormat/>
    <w:uiPriority w:val="0"/>
    <w:pPr>
      <w:spacing w:line="600" w:lineRule="exact"/>
      <w:ind w:firstLine="480" w:firstLineChars="200"/>
    </w:pPr>
    <w:rPr>
      <w:rFonts w:ascii="宋体" w:hAnsi="宋体"/>
      <w:sz w:val="24"/>
    </w:rPr>
  </w:style>
  <w:style w:type="paragraph" w:styleId="18">
    <w:name w:val="Balloon Text"/>
    <w:basedOn w:val="1"/>
    <w:autoRedefine/>
    <w:qFormat/>
    <w:uiPriority w:val="0"/>
    <w:rPr>
      <w:sz w:val="18"/>
      <w:szCs w:val="18"/>
    </w:rPr>
  </w:style>
  <w:style w:type="paragraph" w:styleId="19">
    <w:name w:val="footer"/>
    <w:basedOn w:val="1"/>
    <w:link w:val="49"/>
    <w:autoRedefine/>
    <w:qFormat/>
    <w:uiPriority w:val="99"/>
    <w:pPr>
      <w:tabs>
        <w:tab w:val="center" w:pos="4153"/>
        <w:tab w:val="right" w:pos="8306"/>
      </w:tabs>
      <w:snapToGrid w:val="0"/>
      <w:jc w:val="left"/>
    </w:pPr>
    <w:rPr>
      <w:sz w:val="18"/>
      <w:szCs w:val="18"/>
      <w:lang w:val="zh-CN"/>
    </w:rPr>
  </w:style>
  <w:style w:type="paragraph" w:styleId="20">
    <w:name w:val="header"/>
    <w:basedOn w:val="1"/>
    <w:link w:val="47"/>
    <w:autoRedefine/>
    <w:qFormat/>
    <w:uiPriority w:val="99"/>
    <w:pPr>
      <w:pBdr>
        <w:bottom w:val="single" w:color="auto" w:sz="6" w:space="1"/>
      </w:pBdr>
      <w:tabs>
        <w:tab w:val="center" w:pos="4153"/>
        <w:tab w:val="right" w:pos="8306"/>
      </w:tabs>
      <w:snapToGrid w:val="0"/>
      <w:jc w:val="center"/>
    </w:pPr>
    <w:rPr>
      <w:sz w:val="18"/>
      <w:szCs w:val="18"/>
      <w:lang w:val="zh-CN"/>
    </w:rPr>
  </w:style>
  <w:style w:type="paragraph" w:styleId="21">
    <w:name w:val="toc 1"/>
    <w:basedOn w:val="1"/>
    <w:next w:val="1"/>
    <w:autoRedefine/>
    <w:qFormat/>
    <w:uiPriority w:val="39"/>
    <w:pPr>
      <w:widowControl/>
      <w:spacing w:before="120"/>
      <w:jc w:val="left"/>
    </w:pPr>
    <w:rPr>
      <w:b/>
      <w:bCs/>
      <w:i/>
      <w:iCs/>
      <w:kern w:val="0"/>
      <w:sz w:val="20"/>
      <w:szCs w:val="28"/>
    </w:rPr>
  </w:style>
  <w:style w:type="paragraph" w:styleId="22">
    <w:name w:val="footnote text"/>
    <w:basedOn w:val="1"/>
    <w:link w:val="67"/>
    <w:autoRedefine/>
    <w:qFormat/>
    <w:uiPriority w:val="0"/>
    <w:pPr>
      <w:snapToGrid w:val="0"/>
      <w:jc w:val="left"/>
    </w:pPr>
    <w:rPr>
      <w:rFonts w:ascii="Calibri" w:hAnsi="Calibri"/>
      <w:sz w:val="18"/>
      <w:szCs w:val="20"/>
    </w:rPr>
  </w:style>
  <w:style w:type="paragraph" w:styleId="23">
    <w:name w:val="toc 2"/>
    <w:basedOn w:val="1"/>
    <w:next w:val="1"/>
    <w:autoRedefine/>
    <w:qFormat/>
    <w:uiPriority w:val="39"/>
    <w:pPr>
      <w:ind w:left="420" w:leftChars="200"/>
    </w:pPr>
  </w:style>
  <w:style w:type="paragraph" w:styleId="24">
    <w:name w:val="Body Text 2"/>
    <w:basedOn w:val="1"/>
    <w:autoRedefine/>
    <w:qFormat/>
    <w:uiPriority w:val="0"/>
    <w:pPr>
      <w:spacing w:line="600" w:lineRule="exact"/>
    </w:pPr>
    <w:rPr>
      <w:rFonts w:ascii="宋体" w:hAnsi="宋体"/>
      <w:sz w:val="24"/>
    </w:rPr>
  </w:style>
  <w:style w:type="paragraph" w:styleId="25">
    <w:name w:val="Normal (Web)"/>
    <w:basedOn w:val="1"/>
    <w:autoRedefine/>
    <w:qFormat/>
    <w:uiPriority w:val="0"/>
    <w:pPr>
      <w:spacing w:before="100" w:beforeAutospacing="1" w:after="100" w:afterAutospacing="1"/>
      <w:jc w:val="left"/>
    </w:pPr>
    <w:rPr>
      <w:kern w:val="0"/>
      <w:sz w:val="24"/>
    </w:rPr>
  </w:style>
  <w:style w:type="paragraph" w:styleId="26">
    <w:name w:val="annotation subject"/>
    <w:basedOn w:val="11"/>
    <w:next w:val="11"/>
    <w:link w:val="48"/>
    <w:autoRedefine/>
    <w:qFormat/>
    <w:uiPriority w:val="0"/>
    <w:rPr>
      <w:b/>
      <w:bCs/>
    </w:rPr>
  </w:style>
  <w:style w:type="paragraph" w:styleId="27">
    <w:name w:val="Body Text First Indent"/>
    <w:basedOn w:val="12"/>
    <w:autoRedefine/>
    <w:qFormat/>
    <w:uiPriority w:val="0"/>
    <w:pPr>
      <w:ind w:firstLine="420" w:firstLineChars="100"/>
    </w:pPr>
    <w:rPr>
      <w:sz w:val="34"/>
    </w:rPr>
  </w:style>
  <w:style w:type="paragraph" w:styleId="28">
    <w:name w:val="Body Text First Indent 2"/>
    <w:basedOn w:val="13"/>
    <w:autoRedefine/>
    <w:qFormat/>
    <w:uiPriority w:val="99"/>
    <w:pPr>
      <w:spacing w:after="120" w:line="360" w:lineRule="auto"/>
      <w:ind w:left="420" w:leftChars="200" w:firstLine="420"/>
    </w:pPr>
  </w:style>
  <w:style w:type="table" w:styleId="30">
    <w:name w:val="Table Grid"/>
    <w:basedOn w:val="29"/>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autoRedefine/>
    <w:qFormat/>
    <w:uiPriority w:val="0"/>
    <w:rPr>
      <w:rFonts w:ascii="Times New Roman" w:hAnsi="Times New Roman" w:eastAsia="宋体" w:cs="Times New Roman"/>
      <w:b/>
      <w:bCs/>
    </w:rPr>
  </w:style>
  <w:style w:type="character" w:styleId="33">
    <w:name w:val="page number"/>
    <w:autoRedefine/>
    <w:qFormat/>
    <w:uiPriority w:val="0"/>
    <w:rPr>
      <w:rFonts w:ascii="Times New Roman" w:hAnsi="Times New Roman" w:eastAsia="宋体" w:cs="Times New Roman"/>
    </w:rPr>
  </w:style>
  <w:style w:type="character" w:styleId="34">
    <w:name w:val="FollowedHyperlink"/>
    <w:autoRedefine/>
    <w:qFormat/>
    <w:uiPriority w:val="0"/>
    <w:rPr>
      <w:rFonts w:ascii="Times New Roman" w:hAnsi="Times New Roman" w:eastAsia="宋体" w:cs="Times New Roman"/>
      <w:color w:val="333333"/>
      <w:u w:val="none"/>
    </w:rPr>
  </w:style>
  <w:style w:type="character" w:styleId="35">
    <w:name w:val="Emphasis"/>
    <w:autoRedefine/>
    <w:qFormat/>
    <w:uiPriority w:val="0"/>
    <w:rPr>
      <w:rFonts w:ascii="Times New Roman" w:hAnsi="Times New Roman" w:eastAsia="宋体" w:cs="Times New Roman"/>
    </w:rPr>
  </w:style>
  <w:style w:type="character" w:styleId="36">
    <w:name w:val="HTML Definition"/>
    <w:autoRedefine/>
    <w:qFormat/>
    <w:uiPriority w:val="0"/>
    <w:rPr>
      <w:rFonts w:ascii="Times New Roman" w:hAnsi="Times New Roman" w:eastAsia="宋体" w:cs="Times New Roman"/>
    </w:rPr>
  </w:style>
  <w:style w:type="character" w:styleId="37">
    <w:name w:val="HTML Variable"/>
    <w:autoRedefine/>
    <w:qFormat/>
    <w:uiPriority w:val="0"/>
    <w:rPr>
      <w:rFonts w:ascii="Times New Roman" w:hAnsi="Times New Roman" w:eastAsia="宋体" w:cs="Times New Roman"/>
    </w:rPr>
  </w:style>
  <w:style w:type="character" w:styleId="38">
    <w:name w:val="Hyperlink"/>
    <w:autoRedefine/>
    <w:qFormat/>
    <w:uiPriority w:val="99"/>
    <w:rPr>
      <w:rFonts w:ascii="Times New Roman" w:hAnsi="Times New Roman" w:eastAsia="宋体" w:cs="Times New Roman"/>
      <w:color w:val="333333"/>
      <w:u w:val="none"/>
    </w:rPr>
  </w:style>
  <w:style w:type="character" w:styleId="39">
    <w:name w:val="HTML Code"/>
    <w:autoRedefine/>
    <w:qFormat/>
    <w:uiPriority w:val="0"/>
    <w:rPr>
      <w:rFonts w:ascii="Courier New" w:hAnsi="Courier New" w:eastAsia="宋体" w:cs="Times New Roman"/>
      <w:sz w:val="20"/>
    </w:rPr>
  </w:style>
  <w:style w:type="character" w:styleId="40">
    <w:name w:val="annotation reference"/>
    <w:autoRedefine/>
    <w:qFormat/>
    <w:uiPriority w:val="0"/>
    <w:rPr>
      <w:rFonts w:ascii="Times New Roman" w:hAnsi="Times New Roman" w:eastAsia="宋体" w:cs="Times New Roman"/>
      <w:sz w:val="21"/>
      <w:szCs w:val="21"/>
    </w:rPr>
  </w:style>
  <w:style w:type="character" w:styleId="41">
    <w:name w:val="HTML Cite"/>
    <w:autoRedefine/>
    <w:qFormat/>
    <w:uiPriority w:val="0"/>
    <w:rPr>
      <w:rFonts w:ascii="Times New Roman" w:hAnsi="Times New Roman" w:eastAsia="宋体" w:cs="Times New Roman"/>
    </w:rPr>
  </w:style>
  <w:style w:type="character" w:styleId="42">
    <w:name w:val="footnote reference"/>
    <w:autoRedefine/>
    <w:qFormat/>
    <w:uiPriority w:val="0"/>
    <w:rPr>
      <w:vertAlign w:val="superscript"/>
    </w:rPr>
  </w:style>
  <w:style w:type="character" w:customStyle="1" w:styleId="43">
    <w:name w:val="注释标题 字符"/>
    <w:link w:val="7"/>
    <w:autoRedefine/>
    <w:qFormat/>
    <w:uiPriority w:val="0"/>
    <w:rPr>
      <w:rFonts w:ascii="Times New Roman" w:hAnsi="Times New Roman" w:eastAsia="宋体" w:cs="Times New Roman"/>
      <w:kern w:val="2"/>
      <w:sz w:val="21"/>
      <w:lang w:val="en-US" w:eastAsia="zh-CN" w:bidi="ar-SA"/>
    </w:rPr>
  </w:style>
  <w:style w:type="character" w:customStyle="1" w:styleId="44">
    <w:name w:val="批注文字 字符"/>
    <w:link w:val="11"/>
    <w:autoRedefine/>
    <w:qFormat/>
    <w:uiPriority w:val="0"/>
    <w:rPr>
      <w:rFonts w:ascii="Times New Roman" w:hAnsi="Times New Roman" w:eastAsia="宋体" w:cs="Times New Roman"/>
      <w:kern w:val="2"/>
      <w:sz w:val="21"/>
      <w:szCs w:val="24"/>
    </w:rPr>
  </w:style>
  <w:style w:type="character" w:customStyle="1" w:styleId="45">
    <w:name w:val="标题 4 字符"/>
    <w:link w:val="5"/>
    <w:autoRedefine/>
    <w:qFormat/>
    <w:uiPriority w:val="0"/>
    <w:rPr>
      <w:rFonts w:ascii="等线 Light" w:hAnsi="等线 Light" w:eastAsia="等线 Light" w:cs="Times New Roman"/>
      <w:b/>
      <w:bCs/>
      <w:kern w:val="2"/>
      <w:sz w:val="28"/>
      <w:szCs w:val="28"/>
    </w:rPr>
  </w:style>
  <w:style w:type="character" w:customStyle="1" w:styleId="46">
    <w:name w:val="gonggao-downline1"/>
    <w:autoRedefine/>
    <w:qFormat/>
    <w:uiPriority w:val="0"/>
    <w:rPr>
      <w:rFonts w:ascii="Times New Roman" w:hAnsi="Times New Roman" w:eastAsia="宋体" w:cs="Times New Roman"/>
      <w:b/>
      <w:bCs/>
      <w:u w:val="single"/>
    </w:rPr>
  </w:style>
  <w:style w:type="character" w:customStyle="1" w:styleId="47">
    <w:name w:val="页眉 字符"/>
    <w:link w:val="20"/>
    <w:autoRedefine/>
    <w:qFormat/>
    <w:uiPriority w:val="99"/>
    <w:rPr>
      <w:rFonts w:ascii="Times New Roman" w:hAnsi="Times New Roman" w:eastAsia="宋体" w:cs="Times New Roman"/>
      <w:kern w:val="2"/>
      <w:sz w:val="18"/>
      <w:szCs w:val="18"/>
    </w:rPr>
  </w:style>
  <w:style w:type="character" w:customStyle="1" w:styleId="48">
    <w:name w:val="批注主题 字符"/>
    <w:link w:val="26"/>
    <w:autoRedefine/>
    <w:qFormat/>
    <w:uiPriority w:val="0"/>
    <w:rPr>
      <w:rFonts w:ascii="Times New Roman" w:hAnsi="Times New Roman" w:eastAsia="宋体" w:cs="Times New Roman"/>
      <w:b/>
      <w:bCs/>
      <w:kern w:val="2"/>
      <w:sz w:val="21"/>
      <w:szCs w:val="24"/>
    </w:rPr>
  </w:style>
  <w:style w:type="character" w:customStyle="1" w:styleId="49">
    <w:name w:val="页脚 字符1"/>
    <w:link w:val="19"/>
    <w:autoRedefine/>
    <w:qFormat/>
    <w:uiPriority w:val="0"/>
    <w:rPr>
      <w:rFonts w:ascii="Times New Roman" w:hAnsi="Times New Roman" w:eastAsia="宋体" w:cs="Times New Roman"/>
      <w:kern w:val="2"/>
      <w:sz w:val="18"/>
      <w:szCs w:val="18"/>
    </w:rPr>
  </w:style>
  <w:style w:type="character" w:customStyle="1" w:styleId="50">
    <w:name w:val="页脚 字符"/>
    <w:autoRedefine/>
    <w:qFormat/>
    <w:uiPriority w:val="99"/>
    <w:rPr>
      <w:rFonts w:ascii="Times New Roman" w:hAnsi="Times New Roman" w:eastAsia="宋体" w:cs="Times New Roman"/>
    </w:rPr>
  </w:style>
  <w:style w:type="paragraph" w:customStyle="1" w:styleId="51">
    <w:name w:val="无间隔1"/>
    <w:autoRedefine/>
    <w:qFormat/>
    <w:uiPriority w:val="0"/>
    <w:rPr>
      <w:rFonts w:ascii="Times New Roman" w:hAnsi="Times New Roman" w:eastAsia="宋体" w:cs="Times New Roman"/>
      <w:sz w:val="22"/>
      <w:szCs w:val="22"/>
      <w:lang w:val="en-US" w:eastAsia="en-US" w:bidi="en-US"/>
    </w:rPr>
  </w:style>
  <w:style w:type="paragraph" w:customStyle="1" w:styleId="52">
    <w:name w:val="MM Topic 9"/>
    <w:basedOn w:val="6"/>
    <w:next w:val="53"/>
    <w:autoRedefine/>
    <w:qFormat/>
    <w:uiPriority w:val="0"/>
  </w:style>
  <w:style w:type="paragraph" w:customStyle="1" w:styleId="53">
    <w:name w:val="样式2"/>
    <w:basedOn w:val="1"/>
    <w:next w:val="54"/>
    <w:autoRedefine/>
    <w:qFormat/>
    <w:uiPriority w:val="0"/>
    <w:pPr>
      <w:spacing w:line="410" w:lineRule="atLeast"/>
    </w:pPr>
    <w:rPr>
      <w:rFonts w:ascii="宋体"/>
      <w:sz w:val="34"/>
    </w:rPr>
  </w:style>
  <w:style w:type="paragraph" w:customStyle="1" w:styleId="54">
    <w:name w:val="页脚 New New New New New New New New New New"/>
    <w:next w:val="55"/>
    <w:autoRedefine/>
    <w:qFormat/>
    <w:uiPriority w:val="0"/>
    <w:pPr>
      <w:widowControl w:val="0"/>
    </w:pPr>
    <w:rPr>
      <w:rFonts w:ascii="Times New Roman" w:hAnsi="Times New Roman" w:eastAsia="宋体" w:cs="Times New Roman"/>
      <w:sz w:val="18"/>
      <w:szCs w:val="22"/>
      <w:lang w:val="en-US" w:eastAsia="zh-CN" w:bidi="ar-SA"/>
    </w:rPr>
  </w:style>
  <w:style w:type="paragraph" w:customStyle="1" w:styleId="55">
    <w:name w:val="目录 911"/>
    <w:next w:val="1"/>
    <w:autoRedefine/>
    <w:qFormat/>
    <w:uiPriority w:val="0"/>
    <w:pPr>
      <w:wordWrap w:val="0"/>
      <w:ind w:left="2975"/>
      <w:jc w:val="both"/>
    </w:pPr>
    <w:rPr>
      <w:rFonts w:ascii="Times New Roman" w:hAnsi="Times New Roman" w:eastAsia="宋体" w:cs="Times New Roman"/>
      <w:sz w:val="21"/>
      <w:szCs w:val="22"/>
      <w:lang w:val="en-US" w:eastAsia="zh-CN" w:bidi="ar-SA"/>
    </w:rPr>
  </w:style>
  <w:style w:type="paragraph" w:customStyle="1" w:styleId="56">
    <w:name w:val="样式"/>
    <w:autoRedefine/>
    <w:qFormat/>
    <w:uiPriority w:val="0"/>
    <w:pPr>
      <w:widowControl w:val="0"/>
    </w:pPr>
    <w:rPr>
      <w:rFonts w:ascii="宋体" w:hAnsi="宋体" w:eastAsia="宋体" w:cs="宋体"/>
      <w:color w:val="000000"/>
      <w:sz w:val="24"/>
      <w:szCs w:val="24"/>
      <w:lang w:val="en-US" w:eastAsia="zh-CN" w:bidi="ar-SA"/>
    </w:rPr>
  </w:style>
  <w:style w:type="paragraph" w:customStyle="1" w:styleId="57">
    <w:name w:val="TOC 标题1"/>
    <w:basedOn w:val="2"/>
    <w:next w:val="1"/>
    <w:autoRedefine/>
    <w:qFormat/>
    <w:uiPriority w:val="0"/>
    <w:pPr>
      <w:outlineLvl w:val="9"/>
    </w:pPr>
  </w:style>
  <w:style w:type="paragraph" w:customStyle="1" w:styleId="58">
    <w:name w:val="目录"/>
    <w:basedOn w:val="1"/>
    <w:autoRedefine/>
    <w:qFormat/>
    <w:uiPriority w:val="0"/>
    <w:pPr>
      <w:widowControl/>
      <w:jc w:val="center"/>
    </w:pPr>
    <w:rPr>
      <w:rFonts w:ascii="宋体"/>
      <w:b/>
      <w:kern w:val="0"/>
      <w:sz w:val="36"/>
      <w:szCs w:val="20"/>
    </w:rPr>
  </w:style>
  <w:style w:type="paragraph" w:styleId="59">
    <w:name w:val="List Paragraph"/>
    <w:basedOn w:val="1"/>
    <w:autoRedefine/>
    <w:qFormat/>
    <w:uiPriority w:val="34"/>
    <w:pPr>
      <w:ind w:firstLine="420" w:firstLineChars="200"/>
    </w:pPr>
  </w:style>
  <w:style w:type="paragraph" w:customStyle="1" w:styleId="60">
    <w:name w:val="正文首行缩进两字符"/>
    <w:basedOn w:val="1"/>
    <w:autoRedefine/>
    <w:qFormat/>
    <w:uiPriority w:val="0"/>
    <w:pPr>
      <w:spacing w:line="360" w:lineRule="auto"/>
      <w:ind w:firstLine="200" w:firstLineChars="200"/>
    </w:pPr>
  </w:style>
  <w:style w:type="paragraph" w:customStyle="1" w:styleId="61">
    <w:name w:val="Table Text"/>
    <w:basedOn w:val="1"/>
    <w:next w:val="52"/>
    <w:autoRedefine/>
    <w:qFormat/>
    <w:uiPriority w:val="0"/>
    <w:pPr>
      <w:widowControl/>
      <w:spacing w:before="60" w:after="60"/>
    </w:pPr>
    <w:rPr>
      <w:rFonts w:ascii="宋体"/>
    </w:rPr>
  </w:style>
  <w:style w:type="paragraph" w:customStyle="1" w:styleId="62">
    <w:name w:val="样式 首行缩进:  2 字符"/>
    <w:basedOn w:val="1"/>
    <w:autoRedefine/>
    <w:qFormat/>
    <w:uiPriority w:val="0"/>
    <w:pPr>
      <w:spacing w:line="400" w:lineRule="exact"/>
      <w:ind w:firstLine="200" w:firstLineChars="200"/>
    </w:pPr>
    <w:rPr>
      <w:rFonts w:cs="宋体"/>
      <w:sz w:val="24"/>
    </w:rPr>
  </w:style>
  <w:style w:type="paragraph" w:customStyle="1" w:styleId="63">
    <w:name w:val="_Style 6"/>
    <w:basedOn w:val="2"/>
    <w:next w:val="1"/>
    <w:autoRedefine/>
    <w:qFormat/>
    <w:uiPriority w:val="0"/>
    <w:pPr>
      <w:outlineLvl w:val="9"/>
    </w:pPr>
  </w:style>
  <w:style w:type="paragraph" w:customStyle="1" w:styleId="64">
    <w:name w:val="Char Char Char Char"/>
    <w:basedOn w:val="1"/>
    <w:autoRedefine/>
    <w:qFormat/>
    <w:uiPriority w:val="0"/>
  </w:style>
  <w:style w:type="paragraph" w:customStyle="1" w:styleId="65">
    <w:name w:val="Default"/>
    <w:next w:val="61"/>
    <w:autoRedefine/>
    <w:qFormat/>
    <w:uiPriority w:val="0"/>
    <w:pPr>
      <w:widowControl w:val="0"/>
      <w:autoSpaceDE w:val="0"/>
      <w:autoSpaceDN w:val="0"/>
    </w:pPr>
    <w:rPr>
      <w:rFonts w:ascii="楷体" w:hAnsi="Times New Roman" w:eastAsia="楷体" w:cs="Times New Roman"/>
      <w:color w:val="000000"/>
      <w:sz w:val="24"/>
      <w:szCs w:val="22"/>
      <w:lang w:val="en-US" w:eastAsia="zh-CN" w:bidi="ar-SA"/>
    </w:rPr>
  </w:style>
  <w:style w:type="paragraph" w:customStyle="1" w:styleId="66">
    <w:name w:val="p0"/>
    <w:basedOn w:val="1"/>
    <w:autoRedefine/>
    <w:qFormat/>
    <w:uiPriority w:val="0"/>
    <w:pPr>
      <w:widowControl/>
    </w:pPr>
    <w:rPr>
      <w:rFonts w:hint="eastAsia"/>
      <w:szCs w:val="20"/>
    </w:rPr>
  </w:style>
  <w:style w:type="character" w:customStyle="1" w:styleId="67">
    <w:name w:val="脚注文本 字符"/>
    <w:link w:val="22"/>
    <w:autoRedefine/>
    <w:qFormat/>
    <w:uiPriority w:val="0"/>
    <w:rPr>
      <w:rFonts w:ascii="Calibri" w:hAnsi="Calibri"/>
      <w:kern w:val="2"/>
      <w:sz w:val="18"/>
    </w:rPr>
  </w:style>
  <w:style w:type="character" w:customStyle="1" w:styleId="68">
    <w:name w:val="脚注文本 字符1"/>
    <w:autoRedefine/>
    <w:qFormat/>
    <w:uiPriority w:val="0"/>
    <w:rPr>
      <w:rFonts w:ascii="Times New Roman" w:hAnsi="Times New Roman" w:eastAsia="宋体" w:cs="Times New Roman"/>
      <w:kern w:val="2"/>
      <w:sz w:val="18"/>
      <w:szCs w:val="18"/>
    </w:rPr>
  </w:style>
  <w:style w:type="character" w:customStyle="1" w:styleId="69">
    <w:name w:val="标题 2 字符"/>
    <w:link w:val="3"/>
    <w:autoRedefine/>
    <w:qFormat/>
    <w:uiPriority w:val="0"/>
    <w:rPr>
      <w:rFonts w:ascii="仿宋_GB2312" w:hAnsi="宋体" w:eastAsia="仿宋_GB2312"/>
      <w:kern w:val="2"/>
      <w:sz w:val="32"/>
      <w:szCs w:val="24"/>
    </w:rPr>
  </w:style>
  <w:style w:type="paragraph" w:customStyle="1" w:styleId="70">
    <w:name w:val="WPSOffice手动目录 1"/>
    <w:autoRedefine/>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373BBF-C388-40EF-8933-4C1D02A4765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5318</Words>
  <Characters>5747</Characters>
  <Lines>463</Lines>
  <Paragraphs>417</Paragraphs>
  <TotalTime>10</TotalTime>
  <ScaleCrop>false</ScaleCrop>
  <LinksUpToDate>false</LinksUpToDate>
  <CharactersWithSpaces>5819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2025-10-12T09:03:00Z</dcterms:created>
  <dc:creator>cjzx</dc:creator>
  <cp:lastModifiedBy>CYZEE</cp:lastModifiedBy>
  <cp:lastPrinted>2025-11-03T09:12:00Z</cp:lastPrinted>
  <dcterms:modified xsi:type="dcterms:W3CDTF">2026-04-10T01:12:17Z</dcterms:modified>
  <dc:title>设计比选邀请书</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18452D2116784842A88042C17DB73224_13</vt:lpwstr>
  </property>
  <property fmtid="{D5CDD505-2E9C-101B-9397-08002B2CF9AE}" pid="4" name="KSOTemplateDocerSaveRecord">
    <vt:lpwstr>eyJoZGlkIjoiMWYzMjlkMTk0ZDk3MzRlZjQ2Y2QxNzdmZGI5NjdkZTciLCJ1c2VySWQiOiIxNTcyMDg2NDEzIn0=</vt:lpwstr>
  </property>
</Properties>
</file>